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before="480"/>
        <w:jc w:val="center"/>
      </w:pPr>
      <w:r>
        <w:rPr>
          <w:rFonts w:ascii="Calibri" w:cs="Calibri" w:eastAsia="Calibri" w:hAnsi="Calibri"/>
          <w:b/>
          <w:bCs/>
          <w:color w:val="1A56DB"/>
          <w:sz w:val="56"/>
          <w:szCs w:val="56"/>
        </w:rPr>
        <w:t xml:space="preserve">JusticeNow</w:t>
      </w:r>
    </w:p>
    <w:p>
      <w:pPr>
        <w:spacing w:after="80" w:before="0"/>
        <w:jc w:val="center"/>
      </w:pPr>
      <w:r>
        <w:rPr>
          <w:rFonts w:ascii="Calibri" w:cs="Calibri" w:eastAsia="Calibri" w:hAnsi="Calibri"/>
          <w:i/>
          <w:iCs/>
          <w:color w:val="888888"/>
          <w:sz w:val="22"/>
          <w:szCs w:val="22"/>
        </w:rPr>
        <w:t xml:space="preserve">We transform the legal sector with advanced AI</w:t>
      </w:r>
    </w:p>
    <w:p>
      <w:pPr>
        <w:pBdr>
          <w:bottom w:val="single" w:color="1A56DB" w:sz="4" w:space="1"/>
        </w:pBdr>
        <w:spacing w:after="160" w:before="160"/>
      </w:pPr>
    </w:p>
    <w:p>
      <w:pPr>
        <w:spacing w:after="80" w:before="80"/>
        <w:jc w:val="center"/>
      </w:pPr>
      <w:r>
        <w:rPr>
          <w:rFonts w:ascii="Calibri" w:cs="Calibri" w:eastAsia="Calibri" w:hAnsi="Calibri"/>
          <w:b/>
          <w:bCs/>
          <w:color w:val="1A1A1A"/>
          <w:sz w:val="32"/>
          <w:szCs w:val="32"/>
        </w:rPr>
        <w:t xml:space="preserve">Política de Privacidad y Protección de Datos Personales</w:t>
      </w:r>
    </w:p>
    <w:p>
      <w:pPr>
        <w:spacing w:after="60" w:before="60"/>
        <w:jc w:val="center"/>
      </w:pPr>
      <w:r>
        <w:rPr>
          <w:rFonts w:ascii="Calibri" w:cs="Calibri" w:eastAsia="Calibri" w:hAnsi="Calibri"/>
          <w:color w:val="888888"/>
          <w:sz w:val="22"/>
          <w:szCs w:val="22"/>
        </w:rPr>
        <w:t xml:space="preserve">Versión 1.0 — Marzo 2026</w:t>
      </w:r>
    </w:p>
    <w:p>
      <w:pPr>
        <w:spacing w:after="480" w:before="40"/>
        <w:jc w:val="center"/>
      </w:pPr>
      <w:r>
        <w:rPr>
          <w:rFonts w:ascii="Calibri" w:cs="Calibri" w:eastAsia="Calibri" w:hAnsi="Calibri"/>
          <w:i/>
          <w:iCs/>
          <w:color w:val="888888"/>
          <w:sz w:val="18"/>
          <w:szCs w:val="18"/>
        </w:rPr>
        <w:t xml:space="preserve">Documento | Uso interno y publicación en plataforma</w:t>
      </w:r>
    </w:p>
    <w:p>
      <w:pPr>
        <w:pStyle w:val="Heading1"/>
      </w:pPr>
      <w:r>
        <w:rPr>
          <w:rFonts w:ascii="Calibri" w:cs="Calibri" w:eastAsia="Calibri" w:hAnsi="Calibri"/>
          <w:b/>
          <w:bCs/>
          <w:color w:val="1A56DB"/>
        </w:rPr>
        <w:t xml:space="preserve">1. Identidad y contacto del Responsable del Tratamiento</w:t>
      </w:r>
    </w:p>
    <w:p>
      <w:pPr>
        <w:spacing w:after="60" w:before="60"/>
      </w:pPr>
      <w:r>
        <w:rPr>
          <w:rFonts w:ascii="Calibri" w:cs="Calibri" w:eastAsia="Calibri" w:hAnsi="Calibri"/>
          <w:color w:val="1A1A1A"/>
          <w:sz w:val="20"/>
          <w:szCs w:val="20"/>
        </w:rPr>
        <w:t xml:space="preserve">El responsable del tratamiento de los datos personales recopilados a través de la plataforma JusticeNow es:</w:t>
      </w:r>
    </w:p>
    <w:p>
      <w:pPr>
        <w:spacing w:after="80" w:before="8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500"/>
        <w:gridCol w:w="6526"/>
      </w:tblGrid>
      <w:tr>
        <w:trPr>
          <w:tblHeader/>
        </w:trPr>
        <w:tc>
          <w:tcPr>
            <w:tcW w:type="dxa" w:w="2500"/>
            <w:tcBorders>
              <w:top w:val="single" w:color="CCCCCC" w:sz="4"/>
              <w:left w:val="single" w:color="CCCCCC" w:sz="4"/>
              <w:bottom w:val="single" w:color="CCCCCC" w:sz="4"/>
              <w:right w:val="single" w:color="CCCCCC" w:sz="4"/>
            </w:tcBorders>
            <w:shd w:fill="1A56DB" w:val="clear"/>
            <w:tcMar>
              <w:top w:type="dxa" w:w="80"/>
              <w:left w:type="dxa" w:w="120"/>
              <w:bottom w:type="dxa" w:w="80"/>
              <w:right w:type="dxa" w:w="120"/>
            </w:tcMar>
            <w:vAlign w:val="center"/>
          </w:tcPr>
          <w:p>
            <w:pPr>
              <w:jc w:val="center"/>
            </w:pPr>
            <w:r>
              <w:rPr>
                <w:rFonts w:ascii="Calibri" w:cs="Calibri" w:eastAsia="Calibri" w:hAnsi="Calibri"/>
                <w:b/>
                <w:bCs/>
                <w:color w:val="FFFFFF"/>
                <w:sz w:val="18"/>
                <w:szCs w:val="18"/>
              </w:rPr>
              <w:t xml:space="preserve">Campo</w:t>
            </w:r>
          </w:p>
        </w:tc>
        <w:tc>
          <w:tcPr>
            <w:tcW w:type="dxa" w:w="6526"/>
            <w:tcBorders>
              <w:top w:val="single" w:color="CCCCCC" w:sz="4"/>
              <w:left w:val="single" w:color="CCCCCC" w:sz="4"/>
              <w:bottom w:val="single" w:color="CCCCCC" w:sz="4"/>
              <w:right w:val="single" w:color="CCCCCC" w:sz="4"/>
            </w:tcBorders>
            <w:shd w:fill="1A56DB" w:val="clear"/>
            <w:tcMar>
              <w:top w:type="dxa" w:w="80"/>
              <w:left w:type="dxa" w:w="120"/>
              <w:bottom w:type="dxa" w:w="80"/>
              <w:right w:type="dxa" w:w="120"/>
            </w:tcMar>
            <w:vAlign w:val="center"/>
          </w:tcPr>
          <w:p>
            <w:pPr>
              <w:jc w:val="center"/>
            </w:pPr>
            <w:r>
              <w:rPr>
                <w:rFonts w:ascii="Calibri" w:cs="Calibri" w:eastAsia="Calibri" w:hAnsi="Calibri"/>
                <w:b/>
                <w:bCs/>
                <w:color w:val="FFFFFF"/>
                <w:sz w:val="18"/>
                <w:szCs w:val="18"/>
              </w:rPr>
              <w:t xml:space="preserve">Detalle</w:t>
            </w:r>
          </w:p>
        </w:tc>
      </w:tr>
      <w:tr>
        <w:tc>
          <w:tcPr>
            <w:tcW w:type="dxa" w:w="2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r>
              <w:rPr>
                <w:rFonts w:ascii="Calibri" w:cs="Calibri" w:eastAsia="Calibri" w:hAnsi="Calibri"/>
                <w:color w:val="1A1A1A"/>
                <w:sz w:val="18"/>
                <w:szCs w:val="18"/>
              </w:rPr>
              <w:t xml:space="preserve">Razón social</w:t>
            </w:r>
          </w:p>
        </w:tc>
        <w:tc>
          <w:tcPr>
            <w:tcW w:type="dxa" w:w="6526"/>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r>
              <w:rPr>
                <w:rFonts w:ascii="Calibri" w:cs="Calibri" w:eastAsia="Calibri" w:hAnsi="Calibri"/>
                <w:color w:val="1A1A1A"/>
                <w:sz w:val="18"/>
                <w:szCs w:val="18"/>
              </w:rPr>
              <w:t xml:space="preserve">Innovant Group SpA</w:t>
            </w:r>
          </w:p>
        </w:tc>
      </w:tr>
      <w:tr>
        <w:tc>
          <w:tcPr>
            <w:tcW w:type="dxa" w:w="2500"/>
            <w:tcBorders>
              <w:top w:val="single" w:color="CCCCCC" w:sz="4"/>
              <w:left w:val="single" w:color="CCCCCC" w:sz="4"/>
              <w:bottom w:val="single" w:color="CCCCCC" w:sz="4"/>
              <w:right w:val="single" w:color="CCCCCC" w:sz="4"/>
            </w:tcBorders>
            <w:shd w:fill="F7F9FE" w:val="clear"/>
            <w:tcMar>
              <w:top w:type="dxa" w:w="80"/>
              <w:left w:type="dxa" w:w="120"/>
              <w:bottom w:type="dxa" w:w="80"/>
              <w:right w:type="dxa" w:w="120"/>
            </w:tcMar>
          </w:tcPr>
          <w:p>
            <w:r>
              <w:rPr>
                <w:rFonts w:ascii="Calibri" w:cs="Calibri" w:eastAsia="Calibri" w:hAnsi="Calibri"/>
                <w:color w:val="1A1A1A"/>
                <w:sz w:val="18"/>
                <w:szCs w:val="18"/>
              </w:rPr>
              <w:t xml:space="preserve">RUT</w:t>
            </w:r>
          </w:p>
        </w:tc>
        <w:tc>
          <w:tcPr>
            <w:tcW w:type="dxa" w:w="6526"/>
            <w:tcBorders>
              <w:top w:val="single" w:color="CCCCCC" w:sz="4"/>
              <w:left w:val="single" w:color="CCCCCC" w:sz="4"/>
              <w:bottom w:val="single" w:color="CCCCCC" w:sz="4"/>
              <w:right w:val="single" w:color="CCCCCC" w:sz="4"/>
            </w:tcBorders>
            <w:shd w:fill="F7F9FE" w:val="clear"/>
            <w:tcMar>
              <w:top w:type="dxa" w:w="80"/>
              <w:left w:type="dxa" w:w="120"/>
              <w:bottom w:type="dxa" w:w="80"/>
              <w:right w:type="dxa" w:w="120"/>
            </w:tcMar>
          </w:tcPr>
          <w:p>
            <w:r>
              <w:rPr>
                <w:rFonts w:ascii="Calibri" w:cs="Calibri" w:eastAsia="Calibri" w:hAnsi="Calibri"/>
                <w:color w:val="1A1A1A"/>
                <w:sz w:val="18"/>
                <w:szCs w:val="18"/>
              </w:rPr>
              <w:t xml:space="preserve">77.769.203-8</w:t>
            </w:r>
          </w:p>
        </w:tc>
      </w:tr>
      <w:tr>
        <w:tc>
          <w:tcPr>
            <w:tcW w:type="dxa" w:w="2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r>
              <w:rPr>
                <w:rFonts w:ascii="Calibri" w:cs="Calibri" w:eastAsia="Calibri" w:hAnsi="Calibri"/>
                <w:color w:val="1A1A1A"/>
                <w:sz w:val="18"/>
                <w:szCs w:val="18"/>
              </w:rPr>
              <w:t xml:space="preserve">Domicilio</w:t>
            </w:r>
          </w:p>
        </w:tc>
        <w:tc>
          <w:tcPr>
            <w:tcW w:type="dxa" w:w="6526"/>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r>
              <w:rPr>
                <w:rFonts w:ascii="Calibri" w:cs="Calibri" w:eastAsia="Calibri" w:hAnsi="Calibri"/>
                <w:color w:val="1A1A1A"/>
                <w:sz w:val="18"/>
                <w:szCs w:val="18"/>
              </w:rPr>
              <w:t xml:space="preserve">San Pío X 2433, piso 1, Providencia, Región Metropolitana, Chile</w:t>
            </w:r>
          </w:p>
        </w:tc>
      </w:tr>
      <w:tr>
        <w:tc>
          <w:tcPr>
            <w:tcW w:type="dxa" w:w="2500"/>
            <w:tcBorders>
              <w:top w:val="single" w:color="CCCCCC" w:sz="4"/>
              <w:left w:val="single" w:color="CCCCCC" w:sz="4"/>
              <w:bottom w:val="single" w:color="CCCCCC" w:sz="4"/>
              <w:right w:val="single" w:color="CCCCCC" w:sz="4"/>
            </w:tcBorders>
            <w:shd w:fill="F7F9FE" w:val="clear"/>
            <w:tcMar>
              <w:top w:type="dxa" w:w="80"/>
              <w:left w:type="dxa" w:w="120"/>
              <w:bottom w:type="dxa" w:w="80"/>
              <w:right w:type="dxa" w:w="120"/>
            </w:tcMar>
          </w:tcPr>
          <w:p>
            <w:r>
              <w:rPr>
                <w:rFonts w:ascii="Calibri" w:cs="Calibri" w:eastAsia="Calibri" w:hAnsi="Calibri"/>
                <w:color w:val="1A1A1A"/>
                <w:sz w:val="18"/>
                <w:szCs w:val="18"/>
              </w:rPr>
              <w:t xml:space="preserve">Correo electrónico</w:t>
            </w:r>
          </w:p>
        </w:tc>
        <w:tc>
          <w:tcPr>
            <w:tcW w:type="dxa" w:w="6526"/>
            <w:tcBorders>
              <w:top w:val="single" w:color="CCCCCC" w:sz="4"/>
              <w:left w:val="single" w:color="CCCCCC" w:sz="4"/>
              <w:bottom w:val="single" w:color="CCCCCC" w:sz="4"/>
              <w:right w:val="single" w:color="CCCCCC" w:sz="4"/>
            </w:tcBorders>
            <w:shd w:fill="F7F9FE" w:val="clear"/>
            <w:tcMar>
              <w:top w:type="dxa" w:w="80"/>
              <w:left w:type="dxa" w:w="120"/>
              <w:bottom w:type="dxa" w:w="80"/>
              <w:right w:type="dxa" w:w="120"/>
            </w:tcMar>
          </w:tcPr>
          <w:p>
            <w:r>
              <w:rPr>
                <w:rFonts w:ascii="Calibri" w:cs="Calibri" w:eastAsia="Calibri" w:hAnsi="Calibri"/>
                <w:color w:val="1A1A1A"/>
                <w:sz w:val="18"/>
                <w:szCs w:val="18"/>
              </w:rPr>
              <w:t xml:space="preserve">fsalas@innovantgroup.io</w:t>
            </w:r>
          </w:p>
        </w:tc>
      </w:tr>
      <w:tr>
        <w:tc>
          <w:tcPr>
            <w:tcW w:type="dxa" w:w="2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r>
              <w:rPr>
                <w:rFonts w:ascii="Calibri" w:cs="Calibri" w:eastAsia="Calibri" w:hAnsi="Calibri"/>
                <w:color w:val="1A1A1A"/>
                <w:sz w:val="18"/>
                <w:szCs w:val="18"/>
              </w:rPr>
              <w:t xml:space="preserve">Representante legal</w:t>
            </w:r>
          </w:p>
        </w:tc>
        <w:tc>
          <w:tcPr>
            <w:tcW w:type="dxa" w:w="6526"/>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r>
              <w:rPr>
                <w:rFonts w:ascii="Calibri" w:cs="Calibri" w:eastAsia="Calibri" w:hAnsi="Calibri"/>
                <w:color w:val="1A1A1A"/>
                <w:sz w:val="18"/>
                <w:szCs w:val="18"/>
              </w:rPr>
              <w:t xml:space="preserve">Juan Francisco Salas Correa</w:t>
            </w:r>
          </w:p>
        </w:tc>
      </w:tr>
    </w:tbl>
    <w:p>
      <w:pPr>
        <w:spacing w:after="80" w:before="80"/>
      </w:pPr>
    </w:p>
    <w:p>
      <w:pPr>
        <w:pStyle w:val="Heading1"/>
      </w:pPr>
      <w:r>
        <w:rPr>
          <w:rFonts w:ascii="Calibri" w:cs="Calibri" w:eastAsia="Calibri" w:hAnsi="Calibri"/>
          <w:b/>
          <w:bCs/>
          <w:color w:val="1A56DB"/>
        </w:rPr>
        <w:t xml:space="preserve">2. Categorías de datos personales recopilados</w:t>
      </w:r>
    </w:p>
    <w:p>
      <w:pPr>
        <w:pStyle w:val="Heading2"/>
      </w:pPr>
      <w:r>
        <w:rPr>
          <w:rFonts w:ascii="Calibri" w:cs="Calibri" w:eastAsia="Calibri" w:hAnsi="Calibri"/>
          <w:b/>
          <w:bCs/>
          <w:color w:val="1A1A1A"/>
        </w:rPr>
        <w:t xml:space="preserve">2.1. Datos de registro e identificación</w:t>
      </w:r>
    </w:p>
    <w:p>
      <w:pPr>
        <w:spacing w:after="60" w:before="60"/>
      </w:pPr>
      <w:r>
        <w:rPr>
          <w:rFonts w:ascii="Calibri" w:cs="Calibri" w:eastAsia="Calibri" w:hAnsi="Calibri"/>
          <w:color w:val="1A1A1A"/>
          <w:sz w:val="20"/>
          <w:szCs w:val="20"/>
        </w:rPr>
        <w:t xml:space="preserve">Nombre completo, dirección de correo electrónico, nombre de la empresa u organización (si aplica), y número de teléfono de la empresa (opcional). Estos datos son proporcionados directamente por el usuario al crear su cuenta o al registrar su empresa.</w:t>
      </w:r>
    </w:p>
    <w:p>
      <w:pPr>
        <w:pStyle w:val="Heading2"/>
      </w:pPr>
      <w:r>
        <w:rPr>
          <w:rFonts w:ascii="Calibri" w:cs="Calibri" w:eastAsia="Calibri" w:hAnsi="Calibri"/>
          <w:b/>
          <w:bCs/>
          <w:color w:val="1A1A1A"/>
        </w:rPr>
        <w:t xml:space="preserve">2.2. Datos de uso de la plataforma</w:t>
      </w:r>
    </w:p>
    <w:p>
      <w:pPr>
        <w:spacing w:after="60" w:before="60"/>
      </w:pPr>
      <w:r>
        <w:rPr>
          <w:rFonts w:ascii="Calibri" w:cs="Calibri" w:eastAsia="Calibri" w:hAnsi="Calibri"/>
          <w:color w:val="1A1A1A"/>
          <w:sz w:val="20"/>
          <w:szCs w:val="20"/>
        </w:rPr>
        <w:t xml:space="preserve">Consultas realizadas al sistema de inteligencia artificial, documentos subidos para análisis, historial de conversaciones jurídicas, respuestas generadas por IA, y preferencias de configuración del usuario.</w:t>
      </w:r>
    </w:p>
    <w:p>
      <w:pPr>
        <w:pStyle w:val="Heading2"/>
      </w:pPr>
      <w:r>
        <w:rPr>
          <w:rFonts w:ascii="Calibri" w:cs="Calibri" w:eastAsia="Calibri" w:hAnsi="Calibri"/>
          <w:b/>
          <w:bCs/>
          <w:color w:val="1A1A1A"/>
        </w:rPr>
        <w:t xml:space="preserve">2.3. Datos de pago y facturación</w:t>
      </w:r>
    </w:p>
    <w:p>
      <w:pPr>
        <w:spacing w:after="60" w:before="60"/>
      </w:pPr>
      <w:r>
        <w:rPr>
          <w:rFonts w:ascii="Calibri" w:cs="Calibri" w:eastAsia="Calibri" w:hAnsi="Calibri"/>
          <w:color w:val="1A1A1A"/>
          <w:sz w:val="20"/>
          <w:szCs w:val="20"/>
        </w:rPr>
        <w:t xml:space="preserve">JusticeNow no almacena directamente datos de tarjetas de crédito ni información financiera sensible. El procesamiento de pagos es gestionado por proveedores de pago certificados PCI-DSS. JusticeNow únicamente conserva identificadores de transacción, tipo de plan contratado e historial de facturación.</w:t>
      </w:r>
    </w:p>
    <w:p>
      <w:pPr>
        <w:pStyle w:val="Heading2"/>
      </w:pPr>
      <w:r>
        <w:rPr>
          <w:rFonts w:ascii="Calibri" w:cs="Calibri" w:eastAsia="Calibri" w:hAnsi="Calibri"/>
          <w:b/>
          <w:bCs/>
          <w:color w:val="1A1A1A"/>
        </w:rPr>
        <w:t xml:space="preserve">2.4. Datos técnicos</w:t>
      </w:r>
    </w:p>
    <w:p>
      <w:pPr>
        <w:spacing w:after="60" w:before="60"/>
      </w:pPr>
      <w:r>
        <w:rPr>
          <w:rFonts w:ascii="Calibri" w:cs="Calibri" w:eastAsia="Calibri" w:hAnsi="Calibri"/>
          <w:color w:val="1A1A1A"/>
          <w:sz w:val="20"/>
          <w:szCs w:val="20"/>
        </w:rPr>
        <w:t xml:space="preserve">Dirección IP, tipo y versión del navegador, sistema operativo, datos de dispositivo, zona horaria, logs de acceso, y datos de rendimiento de la sesión. Estos datos se recopilan automáticamente al utilizar la plataforma.</w:t>
      </w:r>
    </w:p>
    <w:p>
      <w:pPr>
        <w:spacing w:after="80" w:before="80"/>
      </w:pPr>
    </w:p>
    <w:p>
      <w:pPr>
        <w:pStyle w:val="Heading1"/>
      </w:pPr>
      <w:r>
        <w:rPr>
          <w:rFonts w:ascii="Calibri" w:cs="Calibri" w:eastAsia="Calibri" w:hAnsi="Calibri"/>
          <w:b/>
          <w:bCs/>
          <w:color w:val="1A56DB"/>
        </w:rPr>
        <w:t xml:space="preserve">3. Finalidades del tratamiento</w:t>
      </w:r>
    </w:p>
    <w:p>
      <w:pPr>
        <w:spacing w:after="60" w:before="60"/>
      </w:pPr>
      <w:r>
        <w:rPr>
          <w:rFonts w:ascii="Calibri" w:cs="Calibri" w:eastAsia="Calibri" w:hAnsi="Calibri"/>
          <w:color w:val="1A1A1A"/>
          <w:sz w:val="20"/>
          <w:szCs w:val="20"/>
        </w:rPr>
        <w:t xml:space="preserve">Los datos personales son tratados exclusivamente para las siguientes finalidades:</w:t>
      </w:r>
    </w:p>
    <w:p>
      <w:pPr>
        <w:pStyle w:val="ListParagraph"/>
        <w:numPr>
          <w:ilvl w:val="0"/>
          <w:numId w:val="2"/>
        </w:numPr>
        <w:spacing w:after="40" w:before="40"/>
      </w:pPr>
      <w:r>
        <w:rPr>
          <w:rFonts w:ascii="Calibri" w:cs="Calibri" w:eastAsia="Calibri" w:hAnsi="Calibri"/>
          <w:color w:val="1A1A1A"/>
          <w:sz w:val="20"/>
          <w:szCs w:val="20"/>
        </w:rPr>
        <w:t xml:space="preserve">Provisión del servicio: procesar las consultas jurídicas del usuario, generar respuestas y documentos legales mediante IA, y permitir el funcionamiento integral de la plataforma.</w:t>
      </w:r>
    </w:p>
    <w:p>
      <w:pPr>
        <w:pStyle w:val="ListParagraph"/>
        <w:numPr>
          <w:ilvl w:val="0"/>
          <w:numId w:val="2"/>
        </w:numPr>
        <w:spacing w:after="40" w:before="40"/>
      </w:pPr>
      <w:r>
        <w:rPr>
          <w:rFonts w:ascii="Calibri" w:cs="Calibri" w:eastAsia="Calibri" w:hAnsi="Calibri"/>
          <w:color w:val="1A1A1A"/>
          <w:sz w:val="20"/>
          <w:szCs w:val="20"/>
        </w:rPr>
        <w:t xml:space="preserve">Seguridad: prevenir accesos no autorizados, detectar actividades fraudulentas, y proteger la integridad de la plataforma y los datos de los usuarios.</w:t>
      </w:r>
    </w:p>
    <w:p>
      <w:pPr>
        <w:pStyle w:val="ListParagraph"/>
        <w:numPr>
          <w:ilvl w:val="0"/>
          <w:numId w:val="2"/>
        </w:numPr>
        <w:spacing w:after="40" w:before="40"/>
      </w:pPr>
      <w:r>
        <w:rPr>
          <w:rFonts w:ascii="Calibri" w:cs="Calibri" w:eastAsia="Calibri" w:hAnsi="Calibri"/>
          <w:color w:val="1A1A1A"/>
          <w:sz w:val="20"/>
          <w:szCs w:val="20"/>
        </w:rPr>
        <w:t xml:space="preserve">Facturación y gestión contractual: gestionar el plan contratado, emitir facturas y procesar pagos.</w:t>
      </w:r>
    </w:p>
    <w:p>
      <w:pPr>
        <w:pStyle w:val="ListParagraph"/>
        <w:numPr>
          <w:ilvl w:val="0"/>
          <w:numId w:val="2"/>
        </w:numPr>
        <w:spacing w:after="40" w:before="40"/>
      </w:pPr>
      <w:r>
        <w:rPr>
          <w:rFonts w:ascii="Calibri" w:cs="Calibri" w:eastAsia="Calibri" w:hAnsi="Calibri"/>
          <w:color w:val="1A1A1A"/>
          <w:sz w:val="20"/>
          <w:szCs w:val="20"/>
        </w:rPr>
        <w:t xml:space="preserve">Mejora de la plataforma: analizar patrones de uso agregados y anonimizados para mejorar la funcionalidad del servicio. Esta finalidad requiere consentimiento separado y específico del usuario.</w:t>
      </w:r>
    </w:p>
    <w:p>
      <w:pPr>
        <w:pStyle w:val="ListParagraph"/>
        <w:numPr>
          <w:ilvl w:val="0"/>
          <w:numId w:val="2"/>
        </w:numPr>
        <w:spacing w:after="40" w:before="40"/>
      </w:pPr>
      <w:r>
        <w:rPr>
          <w:rFonts w:ascii="Calibri" w:cs="Calibri" w:eastAsia="Calibri" w:hAnsi="Calibri"/>
          <w:color w:val="1A1A1A"/>
          <w:sz w:val="20"/>
          <w:szCs w:val="20"/>
        </w:rPr>
        <w:t xml:space="preserve">Comunicaciones: enviar notificaciones operativas relacionadas con el servicio (actualizaciones, incidentes, cambios de plan). Las comunicaciones comerciales requieren consentimiento previo y expreso.</w:t>
      </w:r>
    </w:p>
    <w:p>
      <w:pPr>
        <w:pStyle w:val="ListParagraph"/>
        <w:numPr>
          <w:ilvl w:val="0"/>
          <w:numId w:val="2"/>
        </w:numPr>
        <w:spacing w:after="40" w:before="40"/>
      </w:pPr>
      <w:r>
        <w:rPr>
          <w:rFonts w:ascii="Calibri" w:cs="Calibri" w:eastAsia="Calibri" w:hAnsi="Calibri"/>
          <w:color w:val="1A1A1A"/>
          <w:sz w:val="20"/>
          <w:szCs w:val="20"/>
        </w:rPr>
        <w:t xml:space="preserve">Cumplimiento legal: atender requerimientos de autoridades competentes conforme a la legislación chilena vigente.</w:t>
      </w:r>
    </w:p>
    <w:p>
      <w:pPr>
        <w:spacing w:after="80" w:before="80"/>
      </w:pPr>
    </w:p>
    <w:p>
      <w:pPr>
        <w:pStyle w:val="Heading1"/>
      </w:pPr>
      <w:r>
        <w:rPr>
          <w:rFonts w:ascii="Calibri" w:cs="Calibri" w:eastAsia="Calibri" w:hAnsi="Calibri"/>
          <w:b/>
          <w:bCs/>
          <w:color w:val="1A56DB"/>
        </w:rPr>
        <w:t xml:space="preserve">4. Base jurídica del tratamiento</w:t>
      </w:r>
    </w:p>
    <w:p>
      <w:pPr>
        <w:spacing w:after="60" w:before="60"/>
      </w:pPr>
      <w:r>
        <w:rPr>
          <w:rFonts w:ascii="Calibri" w:cs="Calibri" w:eastAsia="Calibri" w:hAnsi="Calibri"/>
          <w:color w:val="1A1A1A"/>
          <w:sz w:val="20"/>
          <w:szCs w:val="20"/>
        </w:rPr>
        <w:t xml:space="preserve">El tratamiento de datos personales se funda en las siguientes bases jurídicas, conforme a la Ley N° 19.628 sobre Protección de la Vida Privada y la Ley N° 21.719 sobre Protección de Datos Personales:</w:t>
      </w:r>
    </w:p>
    <w:p>
      <w:pPr>
        <w:spacing w:after="80" w:before="8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400"/>
        <w:gridCol w:w="3200"/>
        <w:gridCol w:w="3426"/>
      </w:tblGrid>
      <w:tr>
        <w:trPr>
          <w:tblHeader/>
        </w:trPr>
        <w:tc>
          <w:tcPr>
            <w:tcW w:type="dxa" w:w="2400"/>
            <w:tcBorders>
              <w:top w:val="single" w:color="CCCCCC" w:sz="4"/>
              <w:left w:val="single" w:color="CCCCCC" w:sz="4"/>
              <w:bottom w:val="single" w:color="CCCCCC" w:sz="4"/>
              <w:right w:val="single" w:color="CCCCCC" w:sz="4"/>
            </w:tcBorders>
            <w:shd w:fill="1A56DB" w:val="clear"/>
            <w:tcMar>
              <w:top w:type="dxa" w:w="80"/>
              <w:left w:type="dxa" w:w="120"/>
              <w:bottom w:type="dxa" w:w="80"/>
              <w:right w:type="dxa" w:w="120"/>
            </w:tcMar>
            <w:vAlign w:val="center"/>
          </w:tcPr>
          <w:p>
            <w:pPr>
              <w:jc w:val="center"/>
            </w:pPr>
            <w:r>
              <w:rPr>
                <w:rFonts w:ascii="Calibri" w:cs="Calibri" w:eastAsia="Calibri" w:hAnsi="Calibri"/>
                <w:b/>
                <w:bCs/>
                <w:color w:val="FFFFFF"/>
                <w:sz w:val="18"/>
                <w:szCs w:val="18"/>
              </w:rPr>
              <w:t xml:space="preserve">Base jurídica</w:t>
            </w:r>
          </w:p>
        </w:tc>
        <w:tc>
          <w:tcPr>
            <w:tcW w:type="dxa" w:w="3200"/>
            <w:tcBorders>
              <w:top w:val="single" w:color="CCCCCC" w:sz="4"/>
              <w:left w:val="single" w:color="CCCCCC" w:sz="4"/>
              <w:bottom w:val="single" w:color="CCCCCC" w:sz="4"/>
              <w:right w:val="single" w:color="CCCCCC" w:sz="4"/>
            </w:tcBorders>
            <w:shd w:fill="1A56DB" w:val="clear"/>
            <w:tcMar>
              <w:top w:type="dxa" w:w="80"/>
              <w:left w:type="dxa" w:w="120"/>
              <w:bottom w:type="dxa" w:w="80"/>
              <w:right w:type="dxa" w:w="120"/>
            </w:tcMar>
            <w:vAlign w:val="center"/>
          </w:tcPr>
          <w:p>
            <w:pPr>
              <w:jc w:val="center"/>
            </w:pPr>
            <w:r>
              <w:rPr>
                <w:rFonts w:ascii="Calibri" w:cs="Calibri" w:eastAsia="Calibri" w:hAnsi="Calibri"/>
                <w:b/>
                <w:bCs/>
                <w:color w:val="FFFFFF"/>
                <w:sz w:val="18"/>
                <w:szCs w:val="18"/>
              </w:rPr>
              <w:t xml:space="preserve">Datos aplicables</w:t>
            </w:r>
          </w:p>
        </w:tc>
        <w:tc>
          <w:tcPr>
            <w:tcW w:type="dxa" w:w="3426"/>
            <w:tcBorders>
              <w:top w:val="single" w:color="CCCCCC" w:sz="4"/>
              <w:left w:val="single" w:color="CCCCCC" w:sz="4"/>
              <w:bottom w:val="single" w:color="CCCCCC" w:sz="4"/>
              <w:right w:val="single" w:color="CCCCCC" w:sz="4"/>
            </w:tcBorders>
            <w:shd w:fill="1A56DB" w:val="clear"/>
            <w:tcMar>
              <w:top w:type="dxa" w:w="80"/>
              <w:left w:type="dxa" w:w="120"/>
              <w:bottom w:type="dxa" w:w="80"/>
              <w:right w:type="dxa" w:w="120"/>
            </w:tcMar>
            <w:vAlign w:val="center"/>
          </w:tcPr>
          <w:p>
            <w:pPr>
              <w:jc w:val="center"/>
            </w:pPr>
            <w:r>
              <w:rPr>
                <w:rFonts w:ascii="Calibri" w:cs="Calibri" w:eastAsia="Calibri" w:hAnsi="Calibri"/>
                <w:b/>
                <w:bCs/>
                <w:color w:val="FFFFFF"/>
                <w:sz w:val="18"/>
                <w:szCs w:val="18"/>
              </w:rPr>
              <w:t xml:space="preserve">Justificación</w:t>
            </w:r>
          </w:p>
        </w:tc>
      </w:tr>
      <w:tr>
        <w:tc>
          <w:tcPr>
            <w:tcW w:type="dxa" w:w="24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r>
              <w:rPr>
                <w:rFonts w:ascii="Calibri" w:cs="Calibri" w:eastAsia="Calibri" w:hAnsi="Calibri"/>
                <w:color w:val="1A1A1A"/>
                <w:sz w:val="18"/>
                <w:szCs w:val="18"/>
              </w:rPr>
              <w:t xml:space="preserve">Ejecución del contrato</w:t>
            </w:r>
          </w:p>
        </w:tc>
        <w:tc>
          <w:tcPr>
            <w:tcW w:type="dxa" w:w="32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r>
              <w:rPr>
                <w:rFonts w:ascii="Calibri" w:cs="Calibri" w:eastAsia="Calibri" w:hAnsi="Calibri"/>
                <w:color w:val="1A1A1A"/>
                <w:sz w:val="18"/>
                <w:szCs w:val="18"/>
              </w:rPr>
              <w:t xml:space="preserve">Datos de registro, uso y facturación</w:t>
            </w:r>
          </w:p>
        </w:tc>
        <w:tc>
          <w:tcPr>
            <w:tcW w:type="dxa" w:w="3426"/>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r>
              <w:rPr>
                <w:rFonts w:ascii="Calibri" w:cs="Calibri" w:eastAsia="Calibri" w:hAnsi="Calibri"/>
                <w:color w:val="1A1A1A"/>
                <w:sz w:val="18"/>
                <w:szCs w:val="18"/>
              </w:rPr>
              <w:t xml:space="preserve">Necesario para la prestación del servicio contratado</w:t>
            </w:r>
          </w:p>
        </w:tc>
      </w:tr>
      <w:tr>
        <w:tc>
          <w:tcPr>
            <w:tcW w:type="dxa" w:w="2400"/>
            <w:tcBorders>
              <w:top w:val="single" w:color="CCCCCC" w:sz="4"/>
              <w:left w:val="single" w:color="CCCCCC" w:sz="4"/>
              <w:bottom w:val="single" w:color="CCCCCC" w:sz="4"/>
              <w:right w:val="single" w:color="CCCCCC" w:sz="4"/>
            </w:tcBorders>
            <w:shd w:fill="F7F9FE" w:val="clear"/>
            <w:tcMar>
              <w:top w:type="dxa" w:w="80"/>
              <w:left w:type="dxa" w:w="120"/>
              <w:bottom w:type="dxa" w:w="80"/>
              <w:right w:type="dxa" w:w="120"/>
            </w:tcMar>
          </w:tcPr>
          <w:p>
            <w:r>
              <w:rPr>
                <w:rFonts w:ascii="Calibri" w:cs="Calibri" w:eastAsia="Calibri" w:hAnsi="Calibri"/>
                <w:color w:val="1A1A1A"/>
                <w:sz w:val="18"/>
                <w:szCs w:val="18"/>
              </w:rPr>
              <w:t xml:space="preserve">Consentimiento</w:t>
            </w:r>
          </w:p>
        </w:tc>
        <w:tc>
          <w:tcPr>
            <w:tcW w:type="dxa" w:w="3200"/>
            <w:tcBorders>
              <w:top w:val="single" w:color="CCCCCC" w:sz="4"/>
              <w:left w:val="single" w:color="CCCCCC" w:sz="4"/>
              <w:bottom w:val="single" w:color="CCCCCC" w:sz="4"/>
              <w:right w:val="single" w:color="CCCCCC" w:sz="4"/>
            </w:tcBorders>
            <w:shd w:fill="F7F9FE" w:val="clear"/>
            <w:tcMar>
              <w:top w:type="dxa" w:w="80"/>
              <w:left w:type="dxa" w:w="120"/>
              <w:bottom w:type="dxa" w:w="80"/>
              <w:right w:type="dxa" w:w="120"/>
            </w:tcMar>
          </w:tcPr>
          <w:p>
            <w:r>
              <w:rPr>
                <w:rFonts w:ascii="Calibri" w:cs="Calibri" w:eastAsia="Calibri" w:hAnsi="Calibri"/>
                <w:color w:val="1A1A1A"/>
                <w:sz w:val="18"/>
                <w:szCs w:val="18"/>
              </w:rPr>
              <w:t xml:space="preserve">Datos para mejora de plataforma, comunicaciones comerciales</w:t>
            </w:r>
          </w:p>
        </w:tc>
        <w:tc>
          <w:tcPr>
            <w:tcW w:type="dxa" w:w="3426"/>
            <w:tcBorders>
              <w:top w:val="single" w:color="CCCCCC" w:sz="4"/>
              <w:left w:val="single" w:color="CCCCCC" w:sz="4"/>
              <w:bottom w:val="single" w:color="CCCCCC" w:sz="4"/>
              <w:right w:val="single" w:color="CCCCCC" w:sz="4"/>
            </w:tcBorders>
            <w:shd w:fill="F7F9FE" w:val="clear"/>
            <w:tcMar>
              <w:top w:type="dxa" w:w="80"/>
              <w:left w:type="dxa" w:w="120"/>
              <w:bottom w:type="dxa" w:w="80"/>
              <w:right w:type="dxa" w:w="120"/>
            </w:tcMar>
          </w:tcPr>
          <w:p>
            <w:r>
              <w:rPr>
                <w:rFonts w:ascii="Calibri" w:cs="Calibri" w:eastAsia="Calibri" w:hAnsi="Calibri"/>
                <w:color w:val="1A1A1A"/>
                <w:sz w:val="18"/>
                <w:szCs w:val="18"/>
              </w:rPr>
              <w:t xml:space="preserve">Otorgado expresamente por el usuario, revocable en cualquier momento</w:t>
            </w:r>
          </w:p>
        </w:tc>
      </w:tr>
      <w:tr>
        <w:tc>
          <w:tcPr>
            <w:tcW w:type="dxa" w:w="24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r>
              <w:rPr>
                <w:rFonts w:ascii="Calibri" w:cs="Calibri" w:eastAsia="Calibri" w:hAnsi="Calibri"/>
                <w:color w:val="1A1A1A"/>
                <w:sz w:val="18"/>
                <w:szCs w:val="18"/>
              </w:rPr>
              <w:t xml:space="preserve">Interés legítimo</w:t>
            </w:r>
          </w:p>
        </w:tc>
        <w:tc>
          <w:tcPr>
            <w:tcW w:type="dxa" w:w="32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r>
              <w:rPr>
                <w:rFonts w:ascii="Calibri" w:cs="Calibri" w:eastAsia="Calibri" w:hAnsi="Calibri"/>
                <w:color w:val="1A1A1A"/>
                <w:sz w:val="18"/>
                <w:szCs w:val="18"/>
              </w:rPr>
              <w:t xml:space="preserve">Datos técnicos para seguridad</w:t>
            </w:r>
          </w:p>
        </w:tc>
        <w:tc>
          <w:tcPr>
            <w:tcW w:type="dxa" w:w="3426"/>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r>
              <w:rPr>
                <w:rFonts w:ascii="Calibri" w:cs="Calibri" w:eastAsia="Calibri" w:hAnsi="Calibri"/>
                <w:color w:val="1A1A1A"/>
                <w:sz w:val="18"/>
                <w:szCs w:val="18"/>
              </w:rPr>
              <w:t xml:space="preserve">Protección de la plataforma y sus usuarios ante amenazas de seguridad</w:t>
            </w:r>
          </w:p>
        </w:tc>
      </w:tr>
      <w:tr>
        <w:tc>
          <w:tcPr>
            <w:tcW w:type="dxa" w:w="2400"/>
            <w:tcBorders>
              <w:top w:val="single" w:color="CCCCCC" w:sz="4"/>
              <w:left w:val="single" w:color="CCCCCC" w:sz="4"/>
              <w:bottom w:val="single" w:color="CCCCCC" w:sz="4"/>
              <w:right w:val="single" w:color="CCCCCC" w:sz="4"/>
            </w:tcBorders>
            <w:shd w:fill="F7F9FE" w:val="clear"/>
            <w:tcMar>
              <w:top w:type="dxa" w:w="80"/>
              <w:left w:type="dxa" w:w="120"/>
              <w:bottom w:type="dxa" w:w="80"/>
              <w:right w:type="dxa" w:w="120"/>
            </w:tcMar>
          </w:tcPr>
          <w:p>
            <w:r>
              <w:rPr>
                <w:rFonts w:ascii="Calibri" w:cs="Calibri" w:eastAsia="Calibri" w:hAnsi="Calibri"/>
                <w:color w:val="1A1A1A"/>
                <w:sz w:val="18"/>
                <w:szCs w:val="18"/>
              </w:rPr>
              <w:t xml:space="preserve">Obligación legal</w:t>
            </w:r>
          </w:p>
        </w:tc>
        <w:tc>
          <w:tcPr>
            <w:tcW w:type="dxa" w:w="3200"/>
            <w:tcBorders>
              <w:top w:val="single" w:color="CCCCCC" w:sz="4"/>
              <w:left w:val="single" w:color="CCCCCC" w:sz="4"/>
              <w:bottom w:val="single" w:color="CCCCCC" w:sz="4"/>
              <w:right w:val="single" w:color="CCCCCC" w:sz="4"/>
            </w:tcBorders>
            <w:shd w:fill="F7F9FE" w:val="clear"/>
            <w:tcMar>
              <w:top w:type="dxa" w:w="80"/>
              <w:left w:type="dxa" w:w="120"/>
              <w:bottom w:type="dxa" w:w="80"/>
              <w:right w:type="dxa" w:w="120"/>
            </w:tcMar>
          </w:tcPr>
          <w:p>
            <w:r>
              <w:rPr>
                <w:rFonts w:ascii="Calibri" w:cs="Calibri" w:eastAsia="Calibri" w:hAnsi="Calibri"/>
                <w:color w:val="1A1A1A"/>
                <w:sz w:val="18"/>
                <w:szCs w:val="18"/>
              </w:rPr>
              <w:t xml:space="preserve">Datos requeridos por autoridad competente</w:t>
            </w:r>
          </w:p>
        </w:tc>
        <w:tc>
          <w:tcPr>
            <w:tcW w:type="dxa" w:w="3426"/>
            <w:tcBorders>
              <w:top w:val="single" w:color="CCCCCC" w:sz="4"/>
              <w:left w:val="single" w:color="CCCCCC" w:sz="4"/>
              <w:bottom w:val="single" w:color="CCCCCC" w:sz="4"/>
              <w:right w:val="single" w:color="CCCCCC" w:sz="4"/>
            </w:tcBorders>
            <w:shd w:fill="F7F9FE" w:val="clear"/>
            <w:tcMar>
              <w:top w:type="dxa" w:w="80"/>
              <w:left w:type="dxa" w:w="120"/>
              <w:bottom w:type="dxa" w:w="80"/>
              <w:right w:type="dxa" w:w="120"/>
            </w:tcMar>
          </w:tcPr>
          <w:p>
            <w:r>
              <w:rPr>
                <w:rFonts w:ascii="Calibri" w:cs="Calibri" w:eastAsia="Calibri" w:hAnsi="Calibri"/>
                <w:color w:val="1A1A1A"/>
                <w:sz w:val="18"/>
                <w:szCs w:val="18"/>
              </w:rPr>
              <w:t xml:space="preserve">Cumplimiento de requerimientos judiciales o administrativos</w:t>
            </w:r>
          </w:p>
        </w:tc>
      </w:tr>
    </w:tbl>
    <w:p>
      <w:pPr>
        <w:spacing w:after="80" w:before="80"/>
      </w:pPr>
    </w:p>
    <w:p>
      <w:pPr>
        <w:pStyle w:val="Heading1"/>
      </w:pPr>
      <w:r>
        <w:rPr>
          <w:rFonts w:ascii="Calibri" w:cs="Calibri" w:eastAsia="Calibri" w:hAnsi="Calibri"/>
          <w:b/>
          <w:bCs/>
          <w:color w:val="1A56DB"/>
        </w:rPr>
        <w:t xml:space="preserve">5. Declaración sobre uso de datos para entrenamiento de IA</w:t>
      </w:r>
    </w:p>
    <w:p>
      <w:pPr>
        <w:spacing w:after="80" w:before="8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Borders>
              <w:top w:val="single" w:color="1A56DB" w:sz="8"/>
              <w:left w:val="single" w:color="1A56DB" w:sz="8"/>
              <w:bottom w:val="single" w:color="1A56DB" w:sz="8"/>
              <w:right w:val="single" w:color="1A56DB" w:sz="8"/>
            </w:tcBorders>
            <w:shd w:fill="E8F0FD" w:val="clear"/>
            <w:tcMar>
              <w:top w:type="dxa" w:w="120"/>
              <w:left w:type="dxa" w:w="200"/>
              <w:bottom w:type="dxa" w:w="120"/>
              <w:right w:type="dxa" w:w="200"/>
            </w:tcMar>
          </w:tcPr>
          <w:p>
            <w:r>
              <w:rPr>
                <w:rFonts w:ascii="Calibri" w:cs="Calibri" w:eastAsia="Calibri" w:hAnsi="Calibri"/>
                <w:color w:val="1A1A1A"/>
                <w:sz w:val="20"/>
                <w:szCs w:val="20"/>
              </w:rPr>
              <w:t xml:space="preserve">COMPROMISO VINCULANTE: JusticeNow declara formal y expresamente que los documentos, consultas, informes y cualquier otro contenido generado o subido por los usuarios NO son utilizados, directa o indirectamente, para entrenar, ajustar (fine-tuning), reentrenar o mejorar modelos de inteligencia artificial, ya sean propios o de terceros proveedores. Este compromiso es vinculante y forma parte integral de la relación contractual con el usuario.</w:t>
            </w:r>
          </w:p>
        </w:tc>
      </w:tr>
    </w:tbl>
    <w:p>
      <w:pPr>
        <w:spacing w:after="80" w:before="80"/>
      </w:pPr>
    </w:p>
    <w:p>
      <w:pPr>
        <w:pStyle w:val="Heading1"/>
      </w:pPr>
      <w:r>
        <w:rPr>
          <w:rFonts w:ascii="Calibri" w:cs="Calibri" w:eastAsia="Calibri" w:hAnsi="Calibri"/>
          <w:b/>
          <w:bCs/>
          <w:color w:val="1A56DB"/>
        </w:rPr>
        <w:t xml:space="preserve">6. Transferencias internacionales de datos</w:t>
      </w:r>
    </w:p>
    <w:p>
      <w:pPr>
        <w:spacing w:after="60" w:before="60"/>
      </w:pPr>
      <w:r>
        <w:rPr>
          <w:rFonts w:ascii="Calibri" w:cs="Calibri" w:eastAsia="Calibri" w:hAnsi="Calibri"/>
          <w:color w:val="1A1A1A"/>
          <w:sz w:val="20"/>
          <w:szCs w:val="20"/>
        </w:rPr>
        <w:t xml:space="preserve">Debido a la naturaleza de la infraestructura tecnológica utilizada, los datos personales de los usuarios son transferidos y procesados en servidores ubicados en Estados Unidos (Google Cloud Platform, región us-central1) y pueden ser procesados por proveedores con infraestructura en Estados Unidos (Anthropic).</w:t>
      </w:r>
    </w:p>
    <w:p>
      <w:pPr>
        <w:spacing w:after="60" w:before="60"/>
      </w:pPr>
      <w:r>
        <w:rPr>
          <w:rFonts w:ascii="Calibri" w:cs="Calibri" w:eastAsia="Calibri" w:hAnsi="Calibri"/>
          <w:color w:val="1A1A1A"/>
          <w:sz w:val="20"/>
          <w:szCs w:val="20"/>
        </w:rPr>
        <w:t xml:space="preserve">Estas transferencias se realizan bajo los siguientes mecanismos legales de protección:</w:t>
      </w:r>
    </w:p>
    <w:p>
      <w:pPr>
        <w:pStyle w:val="ListParagraph"/>
        <w:numPr>
          <w:ilvl w:val="0"/>
          <w:numId w:val="2"/>
        </w:numPr>
        <w:spacing w:after="40" w:before="40"/>
      </w:pPr>
      <w:r>
        <w:rPr>
          <w:rFonts w:ascii="Calibri" w:cs="Calibri" w:eastAsia="Calibri" w:hAnsi="Calibri"/>
          <w:color w:val="1A1A1A"/>
          <w:sz w:val="20"/>
          <w:szCs w:val="20"/>
        </w:rPr>
        <w:t xml:space="preserve">Cláusulas contractuales estándar (SCCs): incorporadas en los contratos con cada proveedor internacional.</w:t>
      </w:r>
    </w:p>
    <w:p>
      <w:pPr>
        <w:pStyle w:val="ListParagraph"/>
        <w:numPr>
          <w:ilvl w:val="0"/>
          <w:numId w:val="2"/>
        </w:numPr>
        <w:spacing w:after="40" w:before="40"/>
      </w:pPr>
      <w:r>
        <w:rPr>
          <w:rFonts w:ascii="Calibri" w:cs="Calibri" w:eastAsia="Calibri" w:hAnsi="Calibri"/>
          <w:color w:val="1A1A1A"/>
          <w:sz w:val="20"/>
          <w:szCs w:val="20"/>
        </w:rPr>
        <w:t xml:space="preserve">EU-US Data Privacy Framework: cuando el proveedor esté certificado bajo dicho marco.</w:t>
      </w:r>
    </w:p>
    <w:p>
      <w:pPr>
        <w:pStyle w:val="ListParagraph"/>
        <w:numPr>
          <w:ilvl w:val="0"/>
          <w:numId w:val="2"/>
        </w:numPr>
        <w:spacing w:after="40" w:before="40"/>
      </w:pPr>
      <w:r>
        <w:rPr>
          <w:rFonts w:ascii="Calibri" w:cs="Calibri" w:eastAsia="Calibri" w:hAnsi="Calibri"/>
          <w:color w:val="1A1A1A"/>
          <w:sz w:val="20"/>
          <w:szCs w:val="20"/>
        </w:rPr>
        <w:t xml:space="preserve">Consentimiento informado: en los casos donde ninguno de los mecanismos anteriores sea aplicable, se solicitará el consentimiento expreso e informado del usuario.</w:t>
      </w:r>
    </w:p>
    <w:p>
      <w:pPr>
        <w:spacing w:after="80" w:before="80"/>
      </w:pPr>
    </w:p>
    <w:p>
      <w:pPr>
        <w:pStyle w:val="Heading1"/>
      </w:pPr>
      <w:r>
        <w:rPr>
          <w:rFonts w:ascii="Calibri" w:cs="Calibri" w:eastAsia="Calibri" w:hAnsi="Calibri"/>
          <w:b/>
          <w:bCs/>
          <w:color w:val="1A56DB"/>
        </w:rPr>
        <w:t xml:space="preserve">7. Plazos de retención de datos</w:t>
      </w:r>
    </w:p>
    <w:p>
      <w:pPr>
        <w:spacing w:after="80" w:before="8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800"/>
        <w:gridCol w:w="2800"/>
        <w:gridCol w:w="3426"/>
      </w:tblGrid>
      <w:tr>
        <w:trPr>
          <w:tblHeader/>
        </w:trPr>
        <w:tc>
          <w:tcPr>
            <w:tcW w:type="dxa" w:w="2800"/>
            <w:tcBorders>
              <w:top w:val="single" w:color="CCCCCC" w:sz="4"/>
              <w:left w:val="single" w:color="CCCCCC" w:sz="4"/>
              <w:bottom w:val="single" w:color="CCCCCC" w:sz="4"/>
              <w:right w:val="single" w:color="CCCCCC" w:sz="4"/>
            </w:tcBorders>
            <w:shd w:fill="1A56DB" w:val="clear"/>
            <w:tcMar>
              <w:top w:type="dxa" w:w="80"/>
              <w:left w:type="dxa" w:w="120"/>
              <w:bottom w:type="dxa" w:w="80"/>
              <w:right w:type="dxa" w:w="120"/>
            </w:tcMar>
            <w:vAlign w:val="center"/>
          </w:tcPr>
          <w:p>
            <w:pPr>
              <w:jc w:val="center"/>
            </w:pPr>
            <w:r>
              <w:rPr>
                <w:rFonts w:ascii="Calibri" w:cs="Calibri" w:eastAsia="Calibri" w:hAnsi="Calibri"/>
                <w:b/>
                <w:bCs/>
                <w:color w:val="FFFFFF"/>
                <w:sz w:val="18"/>
                <w:szCs w:val="18"/>
              </w:rPr>
              <w:t xml:space="preserve">Categoría</w:t>
            </w:r>
          </w:p>
        </w:tc>
        <w:tc>
          <w:tcPr>
            <w:tcW w:type="dxa" w:w="2800"/>
            <w:tcBorders>
              <w:top w:val="single" w:color="CCCCCC" w:sz="4"/>
              <w:left w:val="single" w:color="CCCCCC" w:sz="4"/>
              <w:bottom w:val="single" w:color="CCCCCC" w:sz="4"/>
              <w:right w:val="single" w:color="CCCCCC" w:sz="4"/>
            </w:tcBorders>
            <w:shd w:fill="1A56DB" w:val="clear"/>
            <w:tcMar>
              <w:top w:type="dxa" w:w="80"/>
              <w:left w:type="dxa" w:w="120"/>
              <w:bottom w:type="dxa" w:w="80"/>
              <w:right w:type="dxa" w:w="120"/>
            </w:tcMar>
            <w:vAlign w:val="center"/>
          </w:tcPr>
          <w:p>
            <w:pPr>
              <w:jc w:val="center"/>
            </w:pPr>
            <w:r>
              <w:rPr>
                <w:rFonts w:ascii="Calibri" w:cs="Calibri" w:eastAsia="Calibri" w:hAnsi="Calibri"/>
                <w:b/>
                <w:bCs/>
                <w:color w:val="FFFFFF"/>
                <w:sz w:val="18"/>
                <w:szCs w:val="18"/>
              </w:rPr>
              <w:t xml:space="preserve">Plazo de retención</w:t>
            </w:r>
          </w:p>
        </w:tc>
        <w:tc>
          <w:tcPr>
            <w:tcW w:type="dxa" w:w="3426"/>
            <w:tcBorders>
              <w:top w:val="single" w:color="CCCCCC" w:sz="4"/>
              <w:left w:val="single" w:color="CCCCCC" w:sz="4"/>
              <w:bottom w:val="single" w:color="CCCCCC" w:sz="4"/>
              <w:right w:val="single" w:color="CCCCCC" w:sz="4"/>
            </w:tcBorders>
            <w:shd w:fill="1A56DB" w:val="clear"/>
            <w:tcMar>
              <w:top w:type="dxa" w:w="80"/>
              <w:left w:type="dxa" w:w="120"/>
              <w:bottom w:type="dxa" w:w="80"/>
              <w:right w:type="dxa" w:w="120"/>
            </w:tcMar>
            <w:vAlign w:val="center"/>
          </w:tcPr>
          <w:p>
            <w:pPr>
              <w:jc w:val="center"/>
            </w:pPr>
            <w:r>
              <w:rPr>
                <w:rFonts w:ascii="Calibri" w:cs="Calibri" w:eastAsia="Calibri" w:hAnsi="Calibri"/>
                <w:b/>
                <w:bCs/>
                <w:color w:val="FFFFFF"/>
                <w:sz w:val="18"/>
                <w:szCs w:val="18"/>
              </w:rPr>
              <w:t xml:space="preserve">Criterio</w:t>
            </w:r>
          </w:p>
        </w:tc>
      </w:tr>
      <w:tr>
        <w:tc>
          <w:tcPr>
            <w:tcW w:type="dxa" w:w="2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r>
              <w:rPr>
                <w:rFonts w:ascii="Calibri" w:cs="Calibri" w:eastAsia="Calibri" w:hAnsi="Calibri"/>
                <w:color w:val="1A1A1A"/>
                <w:sz w:val="18"/>
                <w:szCs w:val="18"/>
              </w:rPr>
              <w:t xml:space="preserve">Datos de registro</w:t>
            </w:r>
          </w:p>
        </w:tc>
        <w:tc>
          <w:tcPr>
            <w:tcW w:type="dxa" w:w="2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r>
              <w:rPr>
                <w:rFonts w:ascii="Calibri" w:cs="Calibri" w:eastAsia="Calibri" w:hAnsi="Calibri"/>
                <w:color w:val="1A1A1A"/>
                <w:sz w:val="18"/>
                <w:szCs w:val="18"/>
              </w:rPr>
              <w:t xml:space="preserve">Vigencia del contrato + 2 años</w:t>
            </w:r>
          </w:p>
        </w:tc>
        <w:tc>
          <w:tcPr>
            <w:tcW w:type="dxa" w:w="3426"/>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r>
              <w:rPr>
                <w:rFonts w:ascii="Calibri" w:cs="Calibri" w:eastAsia="Calibri" w:hAnsi="Calibri"/>
                <w:color w:val="1A1A1A"/>
                <w:sz w:val="18"/>
                <w:szCs w:val="18"/>
              </w:rPr>
              <w:t xml:space="preserve">Obligación legal de conservación</w:t>
            </w:r>
          </w:p>
        </w:tc>
      </w:tr>
      <w:tr>
        <w:tc>
          <w:tcPr>
            <w:tcW w:type="dxa" w:w="2800"/>
            <w:tcBorders>
              <w:top w:val="single" w:color="CCCCCC" w:sz="4"/>
              <w:left w:val="single" w:color="CCCCCC" w:sz="4"/>
              <w:bottom w:val="single" w:color="CCCCCC" w:sz="4"/>
              <w:right w:val="single" w:color="CCCCCC" w:sz="4"/>
            </w:tcBorders>
            <w:shd w:fill="F7F9FE" w:val="clear"/>
            <w:tcMar>
              <w:top w:type="dxa" w:w="80"/>
              <w:left w:type="dxa" w:w="120"/>
              <w:bottom w:type="dxa" w:w="80"/>
              <w:right w:type="dxa" w:w="120"/>
            </w:tcMar>
          </w:tcPr>
          <w:p>
            <w:r>
              <w:rPr>
                <w:rFonts w:ascii="Calibri" w:cs="Calibri" w:eastAsia="Calibri" w:hAnsi="Calibri"/>
                <w:color w:val="1A1A1A"/>
                <w:sz w:val="18"/>
                <w:szCs w:val="18"/>
              </w:rPr>
              <w:t xml:space="preserve">Datos de uso (consultas y conversaciones)</w:t>
            </w:r>
          </w:p>
        </w:tc>
        <w:tc>
          <w:tcPr>
            <w:tcW w:type="dxa" w:w="2800"/>
            <w:tcBorders>
              <w:top w:val="single" w:color="CCCCCC" w:sz="4"/>
              <w:left w:val="single" w:color="CCCCCC" w:sz="4"/>
              <w:bottom w:val="single" w:color="CCCCCC" w:sz="4"/>
              <w:right w:val="single" w:color="CCCCCC" w:sz="4"/>
            </w:tcBorders>
            <w:shd w:fill="F7F9FE" w:val="clear"/>
            <w:tcMar>
              <w:top w:type="dxa" w:w="80"/>
              <w:left w:type="dxa" w:w="120"/>
              <w:bottom w:type="dxa" w:w="80"/>
              <w:right w:type="dxa" w:w="120"/>
            </w:tcMar>
          </w:tcPr>
          <w:p>
            <w:r>
              <w:rPr>
                <w:rFonts w:ascii="Calibri" w:cs="Calibri" w:eastAsia="Calibri" w:hAnsi="Calibri"/>
                <w:color w:val="1A1A1A"/>
                <w:sz w:val="18"/>
                <w:szCs w:val="18"/>
              </w:rPr>
              <w:t xml:space="preserve">Vigencia del contrato</w:t>
            </w:r>
          </w:p>
        </w:tc>
        <w:tc>
          <w:tcPr>
            <w:tcW w:type="dxa" w:w="3426"/>
            <w:tcBorders>
              <w:top w:val="single" w:color="CCCCCC" w:sz="4"/>
              <w:left w:val="single" w:color="CCCCCC" w:sz="4"/>
              <w:bottom w:val="single" w:color="CCCCCC" w:sz="4"/>
              <w:right w:val="single" w:color="CCCCCC" w:sz="4"/>
            </w:tcBorders>
            <w:shd w:fill="F7F9FE" w:val="clear"/>
            <w:tcMar>
              <w:top w:type="dxa" w:w="80"/>
              <w:left w:type="dxa" w:w="120"/>
              <w:bottom w:type="dxa" w:w="80"/>
              <w:right w:type="dxa" w:w="120"/>
            </w:tcMar>
          </w:tcPr>
          <w:p>
            <w:r>
              <w:rPr>
                <w:rFonts w:ascii="Calibri" w:cs="Calibri" w:eastAsia="Calibri" w:hAnsi="Calibri"/>
                <w:color w:val="1A1A1A"/>
                <w:sz w:val="18"/>
                <w:szCs w:val="18"/>
              </w:rPr>
              <w:t xml:space="preserve">Necesidad del servicio</w:t>
            </w:r>
          </w:p>
        </w:tc>
      </w:tr>
      <w:tr>
        <w:tc>
          <w:tcPr>
            <w:tcW w:type="dxa" w:w="2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r>
              <w:rPr>
                <w:rFonts w:ascii="Calibri" w:cs="Calibri" w:eastAsia="Calibri" w:hAnsi="Calibri"/>
                <w:color w:val="1A1A1A"/>
                <w:sz w:val="18"/>
                <w:szCs w:val="18"/>
              </w:rPr>
              <w:t xml:space="preserve">Datos de pago</w:t>
            </w:r>
          </w:p>
        </w:tc>
        <w:tc>
          <w:tcPr>
            <w:tcW w:type="dxa" w:w="2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r>
              <w:rPr>
                <w:rFonts w:ascii="Calibri" w:cs="Calibri" w:eastAsia="Calibri" w:hAnsi="Calibri"/>
                <w:color w:val="1A1A1A"/>
                <w:sz w:val="18"/>
                <w:szCs w:val="18"/>
              </w:rPr>
              <w:t xml:space="preserve">6 años desde la transacción</w:t>
            </w:r>
          </w:p>
        </w:tc>
        <w:tc>
          <w:tcPr>
            <w:tcW w:type="dxa" w:w="3426"/>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r>
              <w:rPr>
                <w:rFonts w:ascii="Calibri" w:cs="Calibri" w:eastAsia="Calibri" w:hAnsi="Calibri"/>
                <w:color w:val="1A1A1A"/>
                <w:sz w:val="18"/>
                <w:szCs w:val="18"/>
              </w:rPr>
              <w:t xml:space="preserve">Obligación tributaria (Código Tributario)</w:t>
            </w:r>
          </w:p>
        </w:tc>
      </w:tr>
      <w:tr>
        <w:tc>
          <w:tcPr>
            <w:tcW w:type="dxa" w:w="2800"/>
            <w:tcBorders>
              <w:top w:val="single" w:color="CCCCCC" w:sz="4"/>
              <w:left w:val="single" w:color="CCCCCC" w:sz="4"/>
              <w:bottom w:val="single" w:color="CCCCCC" w:sz="4"/>
              <w:right w:val="single" w:color="CCCCCC" w:sz="4"/>
            </w:tcBorders>
            <w:shd w:fill="F7F9FE" w:val="clear"/>
            <w:tcMar>
              <w:top w:type="dxa" w:w="80"/>
              <w:left w:type="dxa" w:w="120"/>
              <w:bottom w:type="dxa" w:w="80"/>
              <w:right w:type="dxa" w:w="120"/>
            </w:tcMar>
          </w:tcPr>
          <w:p>
            <w:r>
              <w:rPr>
                <w:rFonts w:ascii="Calibri" w:cs="Calibri" w:eastAsia="Calibri" w:hAnsi="Calibri"/>
                <w:color w:val="1A1A1A"/>
                <w:sz w:val="18"/>
                <w:szCs w:val="18"/>
              </w:rPr>
              <w:t xml:space="preserve">Datos técnicos (logs)</w:t>
            </w:r>
          </w:p>
        </w:tc>
        <w:tc>
          <w:tcPr>
            <w:tcW w:type="dxa" w:w="2800"/>
            <w:tcBorders>
              <w:top w:val="single" w:color="CCCCCC" w:sz="4"/>
              <w:left w:val="single" w:color="CCCCCC" w:sz="4"/>
              <w:bottom w:val="single" w:color="CCCCCC" w:sz="4"/>
              <w:right w:val="single" w:color="CCCCCC" w:sz="4"/>
            </w:tcBorders>
            <w:shd w:fill="F7F9FE" w:val="clear"/>
            <w:tcMar>
              <w:top w:type="dxa" w:w="80"/>
              <w:left w:type="dxa" w:w="120"/>
              <w:bottom w:type="dxa" w:w="80"/>
              <w:right w:type="dxa" w:w="120"/>
            </w:tcMar>
          </w:tcPr>
          <w:p>
            <w:r>
              <w:rPr>
                <w:rFonts w:ascii="Calibri" w:cs="Calibri" w:eastAsia="Calibri" w:hAnsi="Calibri"/>
                <w:color w:val="1A1A1A"/>
                <w:sz w:val="18"/>
                <w:szCs w:val="18"/>
              </w:rPr>
              <w:t xml:space="preserve">12 meses</w:t>
            </w:r>
          </w:p>
        </w:tc>
        <w:tc>
          <w:tcPr>
            <w:tcW w:type="dxa" w:w="3426"/>
            <w:tcBorders>
              <w:top w:val="single" w:color="CCCCCC" w:sz="4"/>
              <w:left w:val="single" w:color="CCCCCC" w:sz="4"/>
              <w:bottom w:val="single" w:color="CCCCCC" w:sz="4"/>
              <w:right w:val="single" w:color="CCCCCC" w:sz="4"/>
            </w:tcBorders>
            <w:shd w:fill="F7F9FE" w:val="clear"/>
            <w:tcMar>
              <w:top w:type="dxa" w:w="80"/>
              <w:left w:type="dxa" w:w="120"/>
              <w:bottom w:type="dxa" w:w="80"/>
              <w:right w:type="dxa" w:w="120"/>
            </w:tcMar>
          </w:tcPr>
          <w:p>
            <w:r>
              <w:rPr>
                <w:rFonts w:ascii="Calibri" w:cs="Calibri" w:eastAsia="Calibri" w:hAnsi="Calibri"/>
                <w:color w:val="1A1A1A"/>
                <w:sz w:val="18"/>
                <w:szCs w:val="18"/>
              </w:rPr>
              <w:t xml:space="preserve">Seguridad y auditoría</w:t>
            </w:r>
          </w:p>
        </w:tc>
      </w:tr>
      <w:tr>
        <w:tc>
          <w:tcPr>
            <w:tcW w:type="dxa" w:w="2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r>
              <w:rPr>
                <w:rFonts w:ascii="Calibri" w:cs="Calibri" w:eastAsia="Calibri" w:hAnsi="Calibri"/>
                <w:color w:val="1A1A1A"/>
                <w:sz w:val="18"/>
                <w:szCs w:val="18"/>
              </w:rPr>
              <w:t xml:space="preserve">Datos de cookies</w:t>
            </w:r>
          </w:p>
        </w:tc>
        <w:tc>
          <w:tcPr>
            <w:tcW w:type="dxa" w:w="2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r>
              <w:rPr>
                <w:rFonts w:ascii="Calibri" w:cs="Calibri" w:eastAsia="Calibri" w:hAnsi="Calibri"/>
                <w:color w:val="1A1A1A"/>
                <w:sz w:val="18"/>
                <w:szCs w:val="18"/>
              </w:rPr>
              <w:t xml:space="preserve">Según tipo de cookie (ver sección 9)</w:t>
            </w:r>
          </w:p>
        </w:tc>
        <w:tc>
          <w:tcPr>
            <w:tcW w:type="dxa" w:w="3426"/>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r>
              <w:rPr>
                <w:rFonts w:ascii="Calibri" w:cs="Calibri" w:eastAsia="Calibri" w:hAnsi="Calibri"/>
                <w:color w:val="1A1A1A"/>
                <w:sz w:val="18"/>
                <w:szCs w:val="18"/>
              </w:rPr>
              <w:t xml:space="preserve">Preferencias del usuario</w:t>
            </w:r>
          </w:p>
        </w:tc>
      </w:tr>
    </w:tbl>
    <w:p>
      <w:pPr>
        <w:spacing w:after="80" w:before="80"/>
      </w:pPr>
    </w:p>
    <w:p>
      <w:pPr>
        <w:spacing w:after="60" w:before="60"/>
      </w:pPr>
      <w:r>
        <w:rPr>
          <w:rFonts w:ascii="Calibri" w:cs="Calibri" w:eastAsia="Calibri" w:hAnsi="Calibri"/>
          <w:color w:val="1A1A1A"/>
          <w:sz w:val="20"/>
          <w:szCs w:val="20"/>
        </w:rPr>
        <w:t xml:space="preserve">Al cierre de la cuenta del usuario, JusticeNow procederá a eliminar los datos personales dentro del plazo de 30 días hábiles, salvo aquellos datos cuya conservación sea requerida por obligación legal. El usuario será informado del procedimiento de eliminación al momento de solicitar el cierre.</w:t>
      </w:r>
    </w:p>
    <w:p>
      <w:pPr>
        <w:spacing w:after="80" w:before="80"/>
      </w:pPr>
    </w:p>
    <w:p>
      <w:pPr>
        <w:pStyle w:val="Heading1"/>
      </w:pPr>
      <w:r>
        <w:rPr>
          <w:rFonts w:ascii="Calibri" w:cs="Calibri" w:eastAsia="Calibri" w:hAnsi="Calibri"/>
          <w:b/>
          <w:bCs/>
          <w:color w:val="1A56DB"/>
        </w:rPr>
        <w:t xml:space="preserve">8. Derechos del titular de datos</w:t>
      </w:r>
    </w:p>
    <w:p>
      <w:pPr>
        <w:spacing w:after="60" w:before="60"/>
      </w:pPr>
      <w:r>
        <w:rPr>
          <w:rFonts w:ascii="Calibri" w:cs="Calibri" w:eastAsia="Calibri" w:hAnsi="Calibri"/>
          <w:color w:val="1A1A1A"/>
          <w:sz w:val="20"/>
          <w:szCs w:val="20"/>
        </w:rPr>
        <w:t xml:space="preserve">Conforme a la Ley N° 21.719 y la legislación vigente, todo usuario tiene los siguientes derechos respecto de sus datos personales:</w:t>
      </w:r>
    </w:p>
    <w:p>
      <w:pPr>
        <w:pStyle w:val="ListParagraph"/>
        <w:numPr>
          <w:ilvl w:val="0"/>
          <w:numId w:val="2"/>
        </w:numPr>
        <w:spacing w:after="40" w:before="40"/>
      </w:pPr>
      <w:r>
        <w:rPr>
          <w:rFonts w:ascii="Calibri" w:cs="Calibri" w:eastAsia="Calibri" w:hAnsi="Calibri"/>
          <w:color w:val="1A1A1A"/>
          <w:sz w:val="20"/>
          <w:szCs w:val="20"/>
        </w:rPr>
        <w:t xml:space="preserve">Derecho de acceso: solicitar confirmación de si sus datos están siendo tratados y obtener copia de los mismos.</w:t>
      </w:r>
    </w:p>
    <w:p>
      <w:pPr>
        <w:pStyle w:val="ListParagraph"/>
        <w:numPr>
          <w:ilvl w:val="0"/>
          <w:numId w:val="2"/>
        </w:numPr>
        <w:spacing w:after="40" w:before="40"/>
      </w:pPr>
      <w:r>
        <w:rPr>
          <w:rFonts w:ascii="Calibri" w:cs="Calibri" w:eastAsia="Calibri" w:hAnsi="Calibri"/>
          <w:color w:val="1A1A1A"/>
          <w:sz w:val="20"/>
          <w:szCs w:val="20"/>
        </w:rPr>
        <w:t xml:space="preserve">Derecho de rectificación: solicitar la corrección de datos inexactos o incompletos.</w:t>
      </w:r>
    </w:p>
    <w:p>
      <w:pPr>
        <w:pStyle w:val="ListParagraph"/>
        <w:numPr>
          <w:ilvl w:val="0"/>
          <w:numId w:val="2"/>
        </w:numPr>
        <w:spacing w:after="40" w:before="40"/>
      </w:pPr>
      <w:r>
        <w:rPr>
          <w:rFonts w:ascii="Calibri" w:cs="Calibri" w:eastAsia="Calibri" w:hAnsi="Calibri"/>
          <w:color w:val="1A1A1A"/>
          <w:sz w:val="20"/>
          <w:szCs w:val="20"/>
        </w:rPr>
        <w:t xml:space="preserve">Derecho de supresión: solicitar la eliminación de sus datos cuando ya no sean necesarios para la finalidad del tratamiento, salvo obligación legal de conservación.</w:t>
      </w:r>
    </w:p>
    <w:p>
      <w:pPr>
        <w:pStyle w:val="ListParagraph"/>
        <w:numPr>
          <w:ilvl w:val="0"/>
          <w:numId w:val="2"/>
        </w:numPr>
        <w:spacing w:after="40" w:before="40"/>
      </w:pPr>
      <w:r>
        <w:rPr>
          <w:rFonts w:ascii="Calibri" w:cs="Calibri" w:eastAsia="Calibri" w:hAnsi="Calibri"/>
          <w:color w:val="1A1A1A"/>
          <w:sz w:val="20"/>
          <w:szCs w:val="20"/>
        </w:rPr>
        <w:t xml:space="preserve">Derecho de oposición: oponerse al tratamiento de sus datos en circunstancias específicas, particularmente cuando la base del tratamiento sea el interés legítimo.</w:t>
      </w:r>
    </w:p>
    <w:p>
      <w:pPr>
        <w:pStyle w:val="ListParagraph"/>
        <w:numPr>
          <w:ilvl w:val="0"/>
          <w:numId w:val="2"/>
        </w:numPr>
        <w:spacing w:after="40" w:before="40"/>
      </w:pPr>
      <w:r>
        <w:rPr>
          <w:rFonts w:ascii="Calibri" w:cs="Calibri" w:eastAsia="Calibri" w:hAnsi="Calibri"/>
          <w:color w:val="1A1A1A"/>
          <w:sz w:val="20"/>
          <w:szCs w:val="20"/>
        </w:rPr>
        <w:t xml:space="preserve">Derecho de portabilidad: recibir sus datos en un formato estructurado, de uso común y lectura mecánica, y transmitirlos a otro responsable del tratamiento.</w:t>
      </w:r>
    </w:p>
    <w:p>
      <w:pPr>
        <w:pStyle w:val="ListParagraph"/>
        <w:numPr>
          <w:ilvl w:val="0"/>
          <w:numId w:val="2"/>
        </w:numPr>
        <w:spacing w:after="40" w:before="40"/>
      </w:pPr>
      <w:r>
        <w:rPr>
          <w:rFonts w:ascii="Calibri" w:cs="Calibri" w:eastAsia="Calibri" w:hAnsi="Calibri"/>
          <w:color w:val="1A1A1A"/>
          <w:sz w:val="20"/>
          <w:szCs w:val="20"/>
        </w:rPr>
        <w:t xml:space="preserve">Derecho de limitación: solicitar que se restrinja temporalmente el tratamiento de sus datos mientras se resuelve una reclamación o impugnación.</w:t>
      </w:r>
    </w:p>
    <w:p>
      <w:pPr>
        <w:spacing w:after="60" w:before="60"/>
      </w:pPr>
      <w:r>
        <w:rPr>
          <w:rFonts w:ascii="Calibri" w:cs="Calibri" w:eastAsia="Calibri" w:hAnsi="Calibri"/>
          <w:color w:val="1A1A1A"/>
          <w:sz w:val="20"/>
          <w:szCs w:val="20"/>
        </w:rPr>
        <w:t xml:space="preserve">Para ejercer cualquiera de estos derechos, el usuario podrá enviar su solicitud a:</w:t>
      </w:r>
    </w:p>
    <w:p>
      <w:pPr>
        <w:spacing w:after="80" w:before="80"/>
      </w:pPr>
      <w:r>
        <w:rPr>
          <w:rFonts w:ascii="Calibri" w:cs="Calibri" w:eastAsia="Calibri" w:hAnsi="Calibri"/>
          <w:b/>
          <w:bCs/>
          <w:color w:val="1A56DB"/>
          <w:sz w:val="20"/>
          <w:szCs w:val="20"/>
        </w:rPr>
        <w:t xml:space="preserve">soporte@justicenow.ai</w:t>
      </w:r>
    </w:p>
    <w:p>
      <w:pPr>
        <w:spacing w:after="60" w:before="60"/>
      </w:pPr>
      <w:r>
        <w:rPr>
          <w:rFonts w:ascii="Calibri" w:cs="Calibri" w:eastAsia="Calibri" w:hAnsi="Calibri"/>
          <w:color w:val="1A1A1A"/>
          <w:sz w:val="20"/>
          <w:szCs w:val="20"/>
        </w:rPr>
        <w:t xml:space="preserve">JusticeNow dará respuesta a toda solicitud dentro de un plazo máximo de 15 días hábiles contados desde su recepción. En caso de que la complejidad de la solicitud lo requiera, dicho plazo podrá extenderse por 15 días hábiles adicionales, previa notificación al usuario.</w:t>
      </w:r>
    </w:p>
    <w:p>
      <w:pPr>
        <w:spacing w:after="60" w:before="60"/>
      </w:pPr>
      <w:r>
        <w:rPr>
          <w:rFonts w:ascii="Calibri" w:cs="Calibri" w:eastAsia="Calibri" w:hAnsi="Calibri"/>
          <w:color w:val="1A1A1A"/>
          <w:sz w:val="20"/>
          <w:szCs w:val="20"/>
        </w:rPr>
        <w:t xml:space="preserve">Si el usuario considera que sus derechos no han sido adecuadamente atendidos, podrá presentar una reclamación ante el Consejo para la Transparencia, o ante la autoridad de control que designe la Ley N° 21.719.</w:t>
      </w:r>
    </w:p>
    <w:p>
      <w:pPr>
        <w:spacing w:after="80" w:before="80"/>
      </w:pPr>
    </w:p>
    <w:p>
      <w:pPr>
        <w:pStyle w:val="Heading1"/>
      </w:pPr>
      <w:r>
        <w:rPr>
          <w:rFonts w:ascii="Calibri" w:cs="Calibri" w:eastAsia="Calibri" w:hAnsi="Calibri"/>
          <w:b/>
          <w:bCs/>
          <w:color w:val="1A56DB"/>
        </w:rPr>
        <w:t xml:space="preserve">9. Cookies y tecnologías de rastreo</w:t>
      </w:r>
    </w:p>
    <w:p>
      <w:pPr>
        <w:spacing w:after="60" w:before="60"/>
      </w:pPr>
      <w:r>
        <w:rPr>
          <w:rFonts w:ascii="Calibri" w:cs="Calibri" w:eastAsia="Calibri" w:hAnsi="Calibri"/>
          <w:color w:val="1A1A1A"/>
          <w:sz w:val="20"/>
          <w:szCs w:val="20"/>
        </w:rPr>
        <w:t xml:space="preserve">JusticeNow utiliza cookies y tecnologías similares para el funcionamiento de la plataforma:</w:t>
      </w:r>
    </w:p>
    <w:p>
      <w:pPr>
        <w:spacing w:after="80" w:before="8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00"/>
        <w:gridCol w:w="3200"/>
        <w:gridCol w:w="1500"/>
        <w:gridCol w:w="2126"/>
      </w:tblGrid>
      <w:tr>
        <w:trPr>
          <w:tblHeader/>
        </w:trPr>
        <w:tc>
          <w:tcPr>
            <w:tcW w:type="dxa" w:w="2200"/>
            <w:tcBorders>
              <w:top w:val="single" w:color="CCCCCC" w:sz="4"/>
              <w:left w:val="single" w:color="CCCCCC" w:sz="4"/>
              <w:bottom w:val="single" w:color="CCCCCC" w:sz="4"/>
              <w:right w:val="single" w:color="CCCCCC" w:sz="4"/>
            </w:tcBorders>
            <w:shd w:fill="1A56DB" w:val="clear"/>
            <w:tcMar>
              <w:top w:type="dxa" w:w="80"/>
              <w:left w:type="dxa" w:w="120"/>
              <w:bottom w:type="dxa" w:w="80"/>
              <w:right w:type="dxa" w:w="120"/>
            </w:tcMar>
            <w:vAlign w:val="center"/>
          </w:tcPr>
          <w:p>
            <w:pPr>
              <w:jc w:val="center"/>
            </w:pPr>
            <w:r>
              <w:rPr>
                <w:rFonts w:ascii="Calibri" w:cs="Calibri" w:eastAsia="Calibri" w:hAnsi="Calibri"/>
                <w:b/>
                <w:bCs/>
                <w:color w:val="FFFFFF"/>
                <w:sz w:val="18"/>
                <w:szCs w:val="18"/>
              </w:rPr>
              <w:t xml:space="preserve">Tipo de cookie</w:t>
            </w:r>
          </w:p>
        </w:tc>
        <w:tc>
          <w:tcPr>
            <w:tcW w:type="dxa" w:w="3200"/>
            <w:tcBorders>
              <w:top w:val="single" w:color="CCCCCC" w:sz="4"/>
              <w:left w:val="single" w:color="CCCCCC" w:sz="4"/>
              <w:bottom w:val="single" w:color="CCCCCC" w:sz="4"/>
              <w:right w:val="single" w:color="CCCCCC" w:sz="4"/>
            </w:tcBorders>
            <w:shd w:fill="1A56DB" w:val="clear"/>
            <w:tcMar>
              <w:top w:type="dxa" w:w="80"/>
              <w:left w:type="dxa" w:w="120"/>
              <w:bottom w:type="dxa" w:w="80"/>
              <w:right w:type="dxa" w:w="120"/>
            </w:tcMar>
            <w:vAlign w:val="center"/>
          </w:tcPr>
          <w:p>
            <w:pPr>
              <w:jc w:val="center"/>
            </w:pPr>
            <w:r>
              <w:rPr>
                <w:rFonts w:ascii="Calibri" w:cs="Calibri" w:eastAsia="Calibri" w:hAnsi="Calibri"/>
                <w:b/>
                <w:bCs/>
                <w:color w:val="FFFFFF"/>
                <w:sz w:val="18"/>
                <w:szCs w:val="18"/>
              </w:rPr>
              <w:t xml:space="preserve">Finalidad</w:t>
            </w:r>
          </w:p>
        </w:tc>
        <w:tc>
          <w:tcPr>
            <w:tcW w:type="dxa" w:w="1500"/>
            <w:tcBorders>
              <w:top w:val="single" w:color="CCCCCC" w:sz="4"/>
              <w:left w:val="single" w:color="CCCCCC" w:sz="4"/>
              <w:bottom w:val="single" w:color="CCCCCC" w:sz="4"/>
              <w:right w:val="single" w:color="CCCCCC" w:sz="4"/>
            </w:tcBorders>
            <w:shd w:fill="1A56DB" w:val="clear"/>
            <w:tcMar>
              <w:top w:type="dxa" w:w="80"/>
              <w:left w:type="dxa" w:w="120"/>
              <w:bottom w:type="dxa" w:w="80"/>
              <w:right w:type="dxa" w:w="120"/>
            </w:tcMar>
            <w:vAlign w:val="center"/>
          </w:tcPr>
          <w:p>
            <w:pPr>
              <w:jc w:val="center"/>
            </w:pPr>
            <w:r>
              <w:rPr>
                <w:rFonts w:ascii="Calibri" w:cs="Calibri" w:eastAsia="Calibri" w:hAnsi="Calibri"/>
                <w:b/>
                <w:bCs/>
                <w:color w:val="FFFFFF"/>
                <w:sz w:val="18"/>
                <w:szCs w:val="18"/>
              </w:rPr>
              <w:t xml:space="preserve">Duración</w:t>
            </w:r>
          </w:p>
        </w:tc>
        <w:tc>
          <w:tcPr>
            <w:tcW w:type="dxa" w:w="2126"/>
            <w:tcBorders>
              <w:top w:val="single" w:color="CCCCCC" w:sz="4"/>
              <w:left w:val="single" w:color="CCCCCC" w:sz="4"/>
              <w:bottom w:val="single" w:color="CCCCCC" w:sz="4"/>
              <w:right w:val="single" w:color="CCCCCC" w:sz="4"/>
            </w:tcBorders>
            <w:shd w:fill="1A56DB" w:val="clear"/>
            <w:tcMar>
              <w:top w:type="dxa" w:w="80"/>
              <w:left w:type="dxa" w:w="120"/>
              <w:bottom w:type="dxa" w:w="80"/>
              <w:right w:type="dxa" w:w="120"/>
            </w:tcMar>
            <w:vAlign w:val="center"/>
          </w:tcPr>
          <w:p>
            <w:pPr>
              <w:jc w:val="center"/>
            </w:pPr>
            <w:r>
              <w:rPr>
                <w:rFonts w:ascii="Calibri" w:cs="Calibri" w:eastAsia="Calibri" w:hAnsi="Calibri"/>
                <w:b/>
                <w:bCs/>
                <w:color w:val="FFFFFF"/>
                <w:sz w:val="18"/>
                <w:szCs w:val="18"/>
              </w:rPr>
              <w:t xml:space="preserve">Consentimiento</w:t>
            </w:r>
          </w:p>
        </w:tc>
      </w:tr>
      <w:tr>
        <w:tc>
          <w:tcPr>
            <w:tcW w:type="dxa" w:w="22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r>
              <w:rPr>
                <w:rFonts w:ascii="Calibri" w:cs="Calibri" w:eastAsia="Calibri" w:hAnsi="Calibri"/>
                <w:color w:val="1A1A1A"/>
                <w:sz w:val="18"/>
                <w:szCs w:val="18"/>
              </w:rPr>
              <w:t xml:space="preserve">Cookies esenciales</w:t>
            </w:r>
          </w:p>
        </w:tc>
        <w:tc>
          <w:tcPr>
            <w:tcW w:type="dxa" w:w="32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r>
              <w:rPr>
                <w:rFonts w:ascii="Calibri" w:cs="Calibri" w:eastAsia="Calibri" w:hAnsi="Calibri"/>
                <w:color w:val="1A1A1A"/>
                <w:sz w:val="18"/>
                <w:szCs w:val="18"/>
              </w:rPr>
              <w:t xml:space="preserve">Funcionamiento de la plataforma (autenticación, sesión)</w:t>
            </w:r>
          </w:p>
        </w:tc>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r>
              <w:rPr>
                <w:rFonts w:ascii="Calibri" w:cs="Calibri" w:eastAsia="Calibri" w:hAnsi="Calibri"/>
                <w:color w:val="1A1A1A"/>
                <w:sz w:val="18"/>
                <w:szCs w:val="18"/>
              </w:rPr>
              <w:t xml:space="preserve">Sesión</w:t>
            </w:r>
          </w:p>
        </w:tc>
        <w:tc>
          <w:tcPr>
            <w:tcW w:type="dxa" w:w="2126"/>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r>
              <w:rPr>
                <w:rFonts w:ascii="Calibri" w:cs="Calibri" w:eastAsia="Calibri" w:hAnsi="Calibri"/>
                <w:color w:val="1A1A1A"/>
                <w:sz w:val="18"/>
                <w:szCs w:val="18"/>
              </w:rPr>
              <w:t xml:space="preserve">No requiere</w:t>
            </w:r>
          </w:p>
        </w:tc>
      </w:tr>
      <w:tr>
        <w:tc>
          <w:tcPr>
            <w:tcW w:type="dxa" w:w="2200"/>
            <w:tcBorders>
              <w:top w:val="single" w:color="CCCCCC" w:sz="4"/>
              <w:left w:val="single" w:color="CCCCCC" w:sz="4"/>
              <w:bottom w:val="single" w:color="CCCCCC" w:sz="4"/>
              <w:right w:val="single" w:color="CCCCCC" w:sz="4"/>
            </w:tcBorders>
            <w:shd w:fill="F7F9FE" w:val="clear"/>
            <w:tcMar>
              <w:top w:type="dxa" w:w="80"/>
              <w:left w:type="dxa" w:w="120"/>
              <w:bottom w:type="dxa" w:w="80"/>
              <w:right w:type="dxa" w:w="120"/>
            </w:tcMar>
          </w:tcPr>
          <w:p>
            <w:r>
              <w:rPr>
                <w:rFonts w:ascii="Calibri" w:cs="Calibri" w:eastAsia="Calibri" w:hAnsi="Calibri"/>
                <w:color w:val="1A1A1A"/>
                <w:sz w:val="18"/>
                <w:szCs w:val="18"/>
              </w:rPr>
              <w:t xml:space="preserve">Cookies de analytics</w:t>
            </w:r>
          </w:p>
        </w:tc>
        <w:tc>
          <w:tcPr>
            <w:tcW w:type="dxa" w:w="3200"/>
            <w:tcBorders>
              <w:top w:val="single" w:color="CCCCCC" w:sz="4"/>
              <w:left w:val="single" w:color="CCCCCC" w:sz="4"/>
              <w:bottom w:val="single" w:color="CCCCCC" w:sz="4"/>
              <w:right w:val="single" w:color="CCCCCC" w:sz="4"/>
            </w:tcBorders>
            <w:shd w:fill="F7F9FE" w:val="clear"/>
            <w:tcMar>
              <w:top w:type="dxa" w:w="80"/>
              <w:left w:type="dxa" w:w="120"/>
              <w:bottom w:type="dxa" w:w="80"/>
              <w:right w:type="dxa" w:w="120"/>
            </w:tcMar>
          </w:tcPr>
          <w:p>
            <w:r>
              <w:rPr>
                <w:rFonts w:ascii="Calibri" w:cs="Calibri" w:eastAsia="Calibri" w:hAnsi="Calibri"/>
                <w:color w:val="1A1A1A"/>
                <w:sz w:val="18"/>
                <w:szCs w:val="18"/>
              </w:rPr>
              <w:t xml:space="preserve">Análisis de uso agregado (Google Tag Manager)</w:t>
            </w:r>
          </w:p>
        </w:tc>
        <w:tc>
          <w:tcPr>
            <w:tcW w:type="dxa" w:w="1500"/>
            <w:tcBorders>
              <w:top w:val="single" w:color="CCCCCC" w:sz="4"/>
              <w:left w:val="single" w:color="CCCCCC" w:sz="4"/>
              <w:bottom w:val="single" w:color="CCCCCC" w:sz="4"/>
              <w:right w:val="single" w:color="CCCCCC" w:sz="4"/>
            </w:tcBorders>
            <w:shd w:fill="F7F9FE" w:val="clear"/>
            <w:tcMar>
              <w:top w:type="dxa" w:w="80"/>
              <w:left w:type="dxa" w:w="120"/>
              <w:bottom w:type="dxa" w:w="80"/>
              <w:right w:type="dxa" w:w="120"/>
            </w:tcMar>
          </w:tcPr>
          <w:p>
            <w:r>
              <w:rPr>
                <w:rFonts w:ascii="Calibri" w:cs="Calibri" w:eastAsia="Calibri" w:hAnsi="Calibri"/>
                <w:color w:val="1A1A1A"/>
                <w:sz w:val="18"/>
                <w:szCs w:val="18"/>
              </w:rPr>
              <w:t xml:space="preserve">12 meses</w:t>
            </w:r>
          </w:p>
        </w:tc>
        <w:tc>
          <w:tcPr>
            <w:tcW w:type="dxa" w:w="2126"/>
            <w:tcBorders>
              <w:top w:val="single" w:color="CCCCCC" w:sz="4"/>
              <w:left w:val="single" w:color="CCCCCC" w:sz="4"/>
              <w:bottom w:val="single" w:color="CCCCCC" w:sz="4"/>
              <w:right w:val="single" w:color="CCCCCC" w:sz="4"/>
            </w:tcBorders>
            <w:shd w:fill="F7F9FE" w:val="clear"/>
            <w:tcMar>
              <w:top w:type="dxa" w:w="80"/>
              <w:left w:type="dxa" w:w="120"/>
              <w:bottom w:type="dxa" w:w="80"/>
              <w:right w:type="dxa" w:w="120"/>
            </w:tcMar>
          </w:tcPr>
          <w:p>
            <w:r>
              <w:rPr>
                <w:rFonts w:ascii="Calibri" w:cs="Calibri" w:eastAsia="Calibri" w:hAnsi="Calibri"/>
                <w:color w:val="1A1A1A"/>
                <w:sz w:val="18"/>
                <w:szCs w:val="18"/>
              </w:rPr>
              <w:t xml:space="preserve">Requiere consentimiento</w:t>
            </w:r>
          </w:p>
        </w:tc>
      </w:tr>
      <w:tr>
        <w:tc>
          <w:tcPr>
            <w:tcW w:type="dxa" w:w="22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r>
              <w:rPr>
                <w:rFonts w:ascii="Calibri" w:cs="Calibri" w:eastAsia="Calibri" w:hAnsi="Calibri"/>
                <w:color w:val="1A1A1A"/>
                <w:sz w:val="18"/>
                <w:szCs w:val="18"/>
              </w:rPr>
              <w:t xml:space="preserve">Cookies de preferencias</w:t>
            </w:r>
          </w:p>
        </w:tc>
        <w:tc>
          <w:tcPr>
            <w:tcW w:type="dxa" w:w="32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r>
              <w:rPr>
                <w:rFonts w:ascii="Calibri" w:cs="Calibri" w:eastAsia="Calibri" w:hAnsi="Calibri"/>
                <w:color w:val="1A1A1A"/>
                <w:sz w:val="18"/>
                <w:szCs w:val="18"/>
              </w:rPr>
              <w:t xml:space="preserve">Configuración del usuario</w:t>
            </w:r>
          </w:p>
        </w:tc>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r>
              <w:rPr>
                <w:rFonts w:ascii="Calibri" w:cs="Calibri" w:eastAsia="Calibri" w:hAnsi="Calibri"/>
                <w:color w:val="1A1A1A"/>
                <w:sz w:val="18"/>
                <w:szCs w:val="18"/>
              </w:rPr>
              <w:t xml:space="preserve">12 meses</w:t>
            </w:r>
          </w:p>
        </w:tc>
        <w:tc>
          <w:tcPr>
            <w:tcW w:type="dxa" w:w="2126"/>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r>
              <w:rPr>
                <w:rFonts w:ascii="Calibri" w:cs="Calibri" w:eastAsia="Calibri" w:hAnsi="Calibri"/>
                <w:color w:val="1A1A1A"/>
                <w:sz w:val="18"/>
                <w:szCs w:val="18"/>
              </w:rPr>
              <w:t xml:space="preserve">No requiere</w:t>
            </w:r>
          </w:p>
        </w:tc>
      </w:tr>
    </w:tbl>
    <w:p>
      <w:pPr>
        <w:spacing w:after="80" w:before="80"/>
      </w:pPr>
    </w:p>
    <w:p>
      <w:pPr>
        <w:spacing w:after="60" w:before="60"/>
      </w:pPr>
      <w:r>
        <w:rPr>
          <w:rFonts w:ascii="Calibri" w:cs="Calibri" w:eastAsia="Calibri" w:hAnsi="Calibri"/>
          <w:color w:val="1A1A1A"/>
          <w:sz w:val="20"/>
          <w:szCs w:val="20"/>
        </w:rPr>
        <w:t xml:space="preserve">El usuario puede configurar sus preferencias de cookies en cualquier momento a través del banner de consentimiento disponible en la plataforma.</w:t>
      </w:r>
    </w:p>
    <w:p>
      <w:pPr>
        <w:spacing w:after="80" w:before="8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500"/>
        <w:gridCol w:w="5526"/>
      </w:tblGrid>
      <w:tr>
        <w:trPr>
          <w:tblHeader/>
        </w:trPr>
        <w:tc>
          <w:tcPr>
            <w:tcW w:type="dxa" w:w="3500"/>
            <w:tcBorders>
              <w:top w:val="single" w:color="CCCCCC" w:sz="4"/>
              <w:left w:val="single" w:color="CCCCCC" w:sz="4"/>
              <w:bottom w:val="single" w:color="CCCCCC" w:sz="4"/>
              <w:right w:val="single" w:color="CCCCCC" w:sz="4"/>
            </w:tcBorders>
            <w:shd w:fill="1A56DB" w:val="clear"/>
            <w:tcMar>
              <w:top w:type="dxa" w:w="80"/>
              <w:left w:type="dxa" w:w="120"/>
              <w:bottom w:type="dxa" w:w="80"/>
              <w:right w:type="dxa" w:w="120"/>
            </w:tcMar>
            <w:vAlign w:val="center"/>
          </w:tcPr>
          <w:p>
            <w:pPr>
              <w:jc w:val="center"/>
            </w:pPr>
            <w:r>
              <w:rPr>
                <w:rFonts w:ascii="Calibri" w:cs="Calibri" w:eastAsia="Calibri" w:hAnsi="Calibri"/>
                <w:b/>
                <w:bCs/>
                <w:color w:val="FFFFFF"/>
                <w:sz w:val="18"/>
                <w:szCs w:val="18"/>
              </w:rPr>
              <w:t xml:space="preserve">Región</w:t>
            </w:r>
          </w:p>
        </w:tc>
        <w:tc>
          <w:tcPr>
            <w:tcW w:type="dxa" w:w="5526"/>
            <w:tcBorders>
              <w:top w:val="single" w:color="CCCCCC" w:sz="4"/>
              <w:left w:val="single" w:color="CCCCCC" w:sz="4"/>
              <w:bottom w:val="single" w:color="CCCCCC" w:sz="4"/>
              <w:right w:val="single" w:color="CCCCCC" w:sz="4"/>
            </w:tcBorders>
            <w:shd w:fill="1A56DB" w:val="clear"/>
            <w:tcMar>
              <w:top w:type="dxa" w:w="80"/>
              <w:left w:type="dxa" w:w="120"/>
              <w:bottom w:type="dxa" w:w="80"/>
              <w:right w:type="dxa" w:w="120"/>
            </w:tcMar>
            <w:vAlign w:val="center"/>
          </w:tcPr>
          <w:p>
            <w:pPr>
              <w:jc w:val="center"/>
            </w:pPr>
            <w:r>
              <w:rPr>
                <w:rFonts w:ascii="Calibri" w:cs="Calibri" w:eastAsia="Calibri" w:hAnsi="Calibri"/>
                <w:b/>
                <w:bCs/>
                <w:color w:val="FFFFFF"/>
                <w:sz w:val="18"/>
                <w:szCs w:val="18"/>
              </w:rPr>
              <w:t xml:space="preserve">Requerimiento</w:t>
            </w:r>
          </w:p>
        </w:tc>
      </w:tr>
      <w:tr>
        <w:tc>
          <w:tcPr>
            <w:tcW w:type="dxa" w:w="3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r>
              <w:rPr>
                <w:rFonts w:ascii="Calibri" w:cs="Calibri" w:eastAsia="Calibri" w:hAnsi="Calibri"/>
                <w:color w:val="1A1A1A"/>
                <w:sz w:val="18"/>
                <w:szCs w:val="18"/>
              </w:rPr>
              <w:t xml:space="preserve">Europa (GDPR)</w:t>
            </w:r>
          </w:p>
        </w:tc>
        <w:tc>
          <w:tcPr>
            <w:tcW w:type="dxa" w:w="5526"/>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r>
              <w:rPr>
                <w:rFonts w:ascii="Calibri" w:cs="Calibri" w:eastAsia="Calibri" w:hAnsi="Calibri"/>
                <w:color w:val="1A1A1A"/>
                <w:sz w:val="18"/>
                <w:szCs w:val="18"/>
              </w:rPr>
              <w:t xml:space="preserve">Consentimiento previo obligatorio</w:t>
            </w:r>
          </w:p>
        </w:tc>
      </w:tr>
      <w:tr>
        <w:tc>
          <w:tcPr>
            <w:tcW w:type="dxa" w:w="3500"/>
            <w:tcBorders>
              <w:top w:val="single" w:color="CCCCCC" w:sz="4"/>
              <w:left w:val="single" w:color="CCCCCC" w:sz="4"/>
              <w:bottom w:val="single" w:color="CCCCCC" w:sz="4"/>
              <w:right w:val="single" w:color="CCCCCC" w:sz="4"/>
            </w:tcBorders>
            <w:shd w:fill="F7F9FE" w:val="clear"/>
            <w:tcMar>
              <w:top w:type="dxa" w:w="80"/>
              <w:left w:type="dxa" w:w="120"/>
              <w:bottom w:type="dxa" w:w="80"/>
              <w:right w:type="dxa" w:w="120"/>
            </w:tcMar>
          </w:tcPr>
          <w:p>
            <w:r>
              <w:rPr>
                <w:rFonts w:ascii="Calibri" w:cs="Calibri" w:eastAsia="Calibri" w:hAnsi="Calibri"/>
                <w:color w:val="1A1A1A"/>
                <w:sz w:val="18"/>
                <w:szCs w:val="18"/>
              </w:rPr>
              <w:t xml:space="preserve">California (CCPA)</w:t>
            </w:r>
          </w:p>
        </w:tc>
        <w:tc>
          <w:tcPr>
            <w:tcW w:type="dxa" w:w="5526"/>
            <w:tcBorders>
              <w:top w:val="single" w:color="CCCCCC" w:sz="4"/>
              <w:left w:val="single" w:color="CCCCCC" w:sz="4"/>
              <w:bottom w:val="single" w:color="CCCCCC" w:sz="4"/>
              <w:right w:val="single" w:color="CCCCCC" w:sz="4"/>
            </w:tcBorders>
            <w:shd w:fill="F7F9FE" w:val="clear"/>
            <w:tcMar>
              <w:top w:type="dxa" w:w="80"/>
              <w:left w:type="dxa" w:w="120"/>
              <w:bottom w:type="dxa" w:w="80"/>
              <w:right w:type="dxa" w:w="120"/>
            </w:tcMar>
          </w:tcPr>
          <w:p>
            <w:r>
              <w:rPr>
                <w:rFonts w:ascii="Calibri" w:cs="Calibri" w:eastAsia="Calibri" w:hAnsi="Calibri"/>
                <w:color w:val="1A1A1A"/>
                <w:sz w:val="18"/>
                <w:szCs w:val="18"/>
              </w:rPr>
              <w:t xml:space="preserve">Opt-out (no previo, pero debe haber opción)</w:t>
            </w:r>
          </w:p>
        </w:tc>
      </w:tr>
      <w:tr>
        <w:tc>
          <w:tcPr>
            <w:tcW w:type="dxa" w:w="3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r>
              <w:rPr>
                <w:rFonts w:ascii="Calibri" w:cs="Calibri" w:eastAsia="Calibri" w:hAnsi="Calibri"/>
                <w:color w:val="1A1A1A"/>
                <w:sz w:val="18"/>
                <w:szCs w:val="18"/>
              </w:rPr>
              <w:t xml:space="preserve">Chile (Ley 21.719)</w:t>
            </w:r>
          </w:p>
        </w:tc>
        <w:tc>
          <w:tcPr>
            <w:tcW w:type="dxa" w:w="5526"/>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r>
              <w:rPr>
                <w:rFonts w:ascii="Calibri" w:cs="Calibri" w:eastAsia="Calibri" w:hAnsi="Calibri"/>
                <w:color w:val="1A1A1A"/>
                <w:sz w:val="18"/>
                <w:szCs w:val="18"/>
              </w:rPr>
              <w:t xml:space="preserve">Consentimiento recomendado</w:t>
            </w:r>
          </w:p>
        </w:tc>
      </w:tr>
      <w:tr>
        <w:tc>
          <w:tcPr>
            <w:tcW w:type="dxa" w:w="3500"/>
            <w:tcBorders>
              <w:top w:val="single" w:color="CCCCCC" w:sz="4"/>
              <w:left w:val="single" w:color="CCCCCC" w:sz="4"/>
              <w:bottom w:val="single" w:color="CCCCCC" w:sz="4"/>
              <w:right w:val="single" w:color="CCCCCC" w:sz="4"/>
            </w:tcBorders>
            <w:shd w:fill="F7F9FE" w:val="clear"/>
            <w:tcMar>
              <w:top w:type="dxa" w:w="80"/>
              <w:left w:type="dxa" w:w="120"/>
              <w:bottom w:type="dxa" w:w="80"/>
              <w:right w:type="dxa" w:w="120"/>
            </w:tcMar>
          </w:tcPr>
          <w:p>
            <w:r>
              <w:rPr>
                <w:rFonts w:ascii="Calibri" w:cs="Calibri" w:eastAsia="Calibri" w:hAnsi="Calibri"/>
                <w:color w:val="1A1A1A"/>
                <w:sz w:val="18"/>
                <w:szCs w:val="18"/>
              </w:rPr>
              <w:t xml:space="preserve">Resto del mundo</w:t>
            </w:r>
          </w:p>
        </w:tc>
        <w:tc>
          <w:tcPr>
            <w:tcW w:type="dxa" w:w="5526"/>
            <w:tcBorders>
              <w:top w:val="single" w:color="CCCCCC" w:sz="4"/>
              <w:left w:val="single" w:color="CCCCCC" w:sz="4"/>
              <w:bottom w:val="single" w:color="CCCCCC" w:sz="4"/>
              <w:right w:val="single" w:color="CCCCCC" w:sz="4"/>
            </w:tcBorders>
            <w:shd w:fill="F7F9FE" w:val="clear"/>
            <w:tcMar>
              <w:top w:type="dxa" w:w="80"/>
              <w:left w:type="dxa" w:w="120"/>
              <w:bottom w:type="dxa" w:w="80"/>
              <w:right w:type="dxa" w:w="120"/>
            </w:tcMar>
          </w:tcPr>
          <w:p>
            <w:r>
              <w:rPr>
                <w:rFonts w:ascii="Calibri" w:cs="Calibri" w:eastAsia="Calibri" w:hAnsi="Calibri"/>
                <w:color w:val="1A1A1A"/>
                <w:sz w:val="18"/>
                <w:szCs w:val="18"/>
              </w:rPr>
              <w:t xml:space="preserve">Buena práctica</w:t>
            </w:r>
          </w:p>
        </w:tc>
      </w:tr>
    </w:tbl>
    <w:p>
      <w:pPr>
        <w:spacing w:after="80" w:before="80"/>
      </w:pPr>
    </w:p>
    <w:p>
      <w:pPr>
        <w:pStyle w:val="Heading1"/>
      </w:pPr>
      <w:r>
        <w:rPr>
          <w:rFonts w:ascii="Calibri" w:cs="Calibri" w:eastAsia="Calibri" w:hAnsi="Calibri"/>
          <w:b/>
          <w:bCs/>
          <w:color w:val="1A56DB"/>
        </w:rPr>
        <w:t xml:space="preserve">10. Medidas de seguridad técnicas y organizativas</w:t>
      </w:r>
    </w:p>
    <w:p>
      <w:pPr>
        <w:pStyle w:val="Heading2"/>
      </w:pPr>
      <w:r>
        <w:rPr>
          <w:rFonts w:ascii="Calibri" w:cs="Calibri" w:eastAsia="Calibri" w:hAnsi="Calibri"/>
          <w:b/>
          <w:bCs/>
          <w:color w:val="1A1A1A"/>
        </w:rPr>
        <w:t xml:space="preserve">Medidas técnicas:</w:t>
      </w:r>
    </w:p>
    <w:p>
      <w:pPr>
        <w:pStyle w:val="ListParagraph"/>
        <w:numPr>
          <w:ilvl w:val="0"/>
          <w:numId w:val="2"/>
        </w:numPr>
        <w:spacing w:after="40" w:before="40"/>
      </w:pPr>
      <w:r>
        <w:rPr>
          <w:rFonts w:ascii="Calibri" w:cs="Calibri" w:eastAsia="Calibri" w:hAnsi="Calibri"/>
          <w:color w:val="1A1A1A"/>
          <w:sz w:val="20"/>
          <w:szCs w:val="20"/>
        </w:rPr>
        <w:t xml:space="preserve">Cifrado en tránsito: todas las comunicaciones están protegidas mediante TLS 1.2 o superior (HTTPS con HSTS habilitado).</w:t>
      </w:r>
    </w:p>
    <w:p>
      <w:pPr>
        <w:pStyle w:val="ListParagraph"/>
        <w:numPr>
          <w:ilvl w:val="0"/>
          <w:numId w:val="2"/>
        </w:numPr>
        <w:spacing w:after="40" w:before="40"/>
      </w:pPr>
      <w:r>
        <w:rPr>
          <w:rFonts w:ascii="Calibri" w:cs="Calibri" w:eastAsia="Calibri" w:hAnsi="Calibri"/>
          <w:color w:val="1A1A1A"/>
          <w:sz w:val="20"/>
          <w:szCs w:val="20"/>
        </w:rPr>
        <w:t xml:space="preserve">Cifrado en reposo: los datos almacenados están cifrados mediante los mecanismos nativos de Google Cloud Platform.</w:t>
      </w:r>
    </w:p>
    <w:p>
      <w:pPr>
        <w:pStyle w:val="ListParagraph"/>
        <w:numPr>
          <w:ilvl w:val="0"/>
          <w:numId w:val="2"/>
        </w:numPr>
        <w:spacing w:after="40" w:before="40"/>
      </w:pPr>
      <w:r>
        <w:rPr>
          <w:rFonts w:ascii="Calibri" w:cs="Calibri" w:eastAsia="Calibri" w:hAnsi="Calibri"/>
          <w:color w:val="1A1A1A"/>
          <w:sz w:val="20"/>
          <w:szCs w:val="20"/>
        </w:rPr>
        <w:t xml:space="preserve">Control de acceso: autenticación mediante tokens JWT con refresh tokens, y control de acceso basado en roles.</w:t>
      </w:r>
    </w:p>
    <w:p>
      <w:pPr>
        <w:pStyle w:val="ListParagraph"/>
        <w:numPr>
          <w:ilvl w:val="0"/>
          <w:numId w:val="2"/>
        </w:numPr>
        <w:spacing w:after="40" w:before="40"/>
      </w:pPr>
      <w:r>
        <w:rPr>
          <w:rFonts w:ascii="Calibri" w:cs="Calibri" w:eastAsia="Calibri" w:hAnsi="Calibri"/>
          <w:color w:val="1A1A1A"/>
          <w:sz w:val="20"/>
          <w:szCs w:val="20"/>
        </w:rPr>
        <w:t xml:space="preserve">Headers de seguridad: X-Content-Type-Options, X-Frame-Options, X-XSS-Protection, Referrer-Policy, Strict-Transport-Security.</w:t>
      </w:r>
    </w:p>
    <w:p>
      <w:pPr>
        <w:pStyle w:val="ListParagraph"/>
        <w:numPr>
          <w:ilvl w:val="0"/>
          <w:numId w:val="2"/>
        </w:numPr>
        <w:spacing w:after="40" w:before="40"/>
      </w:pPr>
      <w:r>
        <w:rPr>
          <w:rFonts w:ascii="Calibri" w:cs="Calibri" w:eastAsia="Calibri" w:hAnsi="Calibri"/>
          <w:color w:val="1A1A1A"/>
          <w:sz w:val="20"/>
          <w:szCs w:val="20"/>
        </w:rPr>
        <w:t xml:space="preserve">Monitoreo: rate limiting y protección contra abuso configurados a nivel de aplicación.</w:t>
      </w:r>
    </w:p>
    <w:p>
      <w:pPr>
        <w:pStyle w:val="Heading2"/>
      </w:pPr>
      <w:r>
        <w:rPr>
          <w:rFonts w:ascii="Calibri" w:cs="Calibri" w:eastAsia="Calibri" w:hAnsi="Calibri"/>
          <w:b/>
          <w:bCs/>
          <w:color w:val="1A1A1A"/>
        </w:rPr>
        <w:t xml:space="preserve">Medidas organizativas:</w:t>
      </w:r>
    </w:p>
    <w:p>
      <w:pPr>
        <w:pStyle w:val="ListParagraph"/>
        <w:numPr>
          <w:ilvl w:val="0"/>
          <w:numId w:val="2"/>
        </w:numPr>
        <w:spacing w:after="40" w:before="40"/>
      </w:pPr>
      <w:r>
        <w:rPr>
          <w:rFonts w:ascii="Calibri" w:cs="Calibri" w:eastAsia="Calibri" w:hAnsi="Calibri"/>
          <w:color w:val="1A1A1A"/>
          <w:sz w:val="20"/>
          <w:szCs w:val="20"/>
        </w:rPr>
        <w:t xml:space="preserve">Políticas internas de acceso y uso aceptable documentadas.</w:t>
      </w:r>
    </w:p>
    <w:p>
      <w:pPr>
        <w:pStyle w:val="ListParagraph"/>
        <w:numPr>
          <w:ilvl w:val="0"/>
          <w:numId w:val="2"/>
        </w:numPr>
        <w:spacing w:after="40" w:before="40"/>
      </w:pPr>
      <w:r>
        <w:rPr>
          <w:rFonts w:ascii="Calibri" w:cs="Calibri" w:eastAsia="Calibri" w:hAnsi="Calibri"/>
          <w:color w:val="1A1A1A"/>
          <w:sz w:val="20"/>
          <w:szCs w:val="20"/>
        </w:rPr>
        <w:t xml:space="preserve">Capacitación periódica del personal en protección de datos.</w:t>
      </w:r>
    </w:p>
    <w:p>
      <w:pPr>
        <w:pStyle w:val="ListParagraph"/>
        <w:numPr>
          <w:ilvl w:val="0"/>
          <w:numId w:val="2"/>
        </w:numPr>
        <w:spacing w:after="40" w:before="40"/>
      </w:pPr>
      <w:r>
        <w:rPr>
          <w:rFonts w:ascii="Calibri" w:cs="Calibri" w:eastAsia="Calibri" w:hAnsi="Calibri"/>
          <w:color w:val="1A1A1A"/>
          <w:sz w:val="20"/>
          <w:szCs w:val="20"/>
        </w:rPr>
        <w:t xml:space="preserve">Auditorías internas de cumplimiento.</w:t>
      </w:r>
    </w:p>
    <w:p>
      <w:pPr>
        <w:spacing w:after="80" w:before="80"/>
      </w:pPr>
    </w:p>
    <w:p>
      <w:pPr>
        <w:pStyle w:val="Heading1"/>
      </w:pPr>
      <w:r>
        <w:rPr>
          <w:rFonts w:ascii="Calibri" w:cs="Calibri" w:eastAsia="Calibri" w:hAnsi="Calibri"/>
          <w:b/>
          <w:bCs/>
          <w:color w:val="1A56DB"/>
        </w:rPr>
        <w:t xml:space="preserve">11. Procedimiento ante brechas de seguridad</w:t>
      </w:r>
    </w:p>
    <w:p>
      <w:pPr>
        <w:spacing w:after="60" w:before="60"/>
      </w:pPr>
      <w:r>
        <w:rPr>
          <w:rFonts w:ascii="Calibri" w:cs="Calibri" w:eastAsia="Calibri" w:hAnsi="Calibri"/>
          <w:color w:val="1A1A1A"/>
          <w:sz w:val="20"/>
          <w:szCs w:val="20"/>
        </w:rPr>
        <w:t xml:space="preserve">En caso de una brecha de seguridad que comprometa datos personales, JusticeNow seguirá el siguiente protocolo:</w:t>
      </w:r>
    </w:p>
    <w:p>
      <w:pPr>
        <w:pStyle w:val="ListParagraph"/>
        <w:numPr>
          <w:ilvl w:val="0"/>
          <w:numId w:val="2"/>
        </w:numPr>
        <w:spacing w:after="40" w:before="40"/>
      </w:pPr>
      <w:r>
        <w:rPr>
          <w:rFonts w:ascii="Calibri" w:cs="Calibri" w:eastAsia="Calibri" w:hAnsi="Calibri"/>
          <w:color w:val="1A1A1A"/>
          <w:sz w:val="20"/>
          <w:szCs w:val="20"/>
        </w:rPr>
        <w:t xml:space="preserve">Detección y contención: identificación inmediata del incidente, aislamiento de los sistemas afectados y evaluación del alcance de la brecha.</w:t>
      </w:r>
    </w:p>
    <w:p>
      <w:pPr>
        <w:pStyle w:val="ListParagraph"/>
        <w:numPr>
          <w:ilvl w:val="0"/>
          <w:numId w:val="2"/>
        </w:numPr>
        <w:spacing w:after="40" w:before="40"/>
      </w:pPr>
      <w:r>
        <w:rPr>
          <w:rFonts w:ascii="Calibri" w:cs="Calibri" w:eastAsia="Calibri" w:hAnsi="Calibri"/>
          <w:color w:val="1A1A1A"/>
          <w:sz w:val="20"/>
          <w:szCs w:val="20"/>
        </w:rPr>
        <w:t xml:space="preserve">Notificación a la autoridad competente: dentro de las 72 horas siguientes a la detección, se notificará al Consejo para la Transparencia (o la autoridad que designe la Ley N° 21.719).</w:t>
      </w:r>
    </w:p>
    <w:p>
      <w:pPr>
        <w:pStyle w:val="ListParagraph"/>
        <w:numPr>
          <w:ilvl w:val="0"/>
          <w:numId w:val="2"/>
        </w:numPr>
        <w:spacing w:after="40" w:before="40"/>
      </w:pPr>
      <w:r>
        <w:rPr>
          <w:rFonts w:ascii="Calibri" w:cs="Calibri" w:eastAsia="Calibri" w:hAnsi="Calibri"/>
          <w:color w:val="1A1A1A"/>
          <w:sz w:val="20"/>
          <w:szCs w:val="20"/>
        </w:rPr>
        <w:t xml:space="preserve">Notificación al usuario: cuando la brecha represente un riesgo alto para los derechos y libertades del titular, JusticeNow notificará a los usuarios afectados sin dilación indebida.</w:t>
      </w:r>
    </w:p>
    <w:p>
      <w:pPr>
        <w:pStyle w:val="ListParagraph"/>
        <w:numPr>
          <w:ilvl w:val="0"/>
          <w:numId w:val="2"/>
        </w:numPr>
        <w:spacing w:after="40" w:before="40"/>
      </w:pPr>
      <w:r>
        <w:rPr>
          <w:rFonts w:ascii="Calibri" w:cs="Calibri" w:eastAsia="Calibri" w:hAnsi="Calibri"/>
          <w:color w:val="1A1A1A"/>
          <w:sz w:val="20"/>
          <w:szCs w:val="20"/>
        </w:rPr>
        <w:t xml:space="preserve">Registro y documentación: cada incidente será documentado en un registro interno.</w:t>
      </w:r>
    </w:p>
    <w:p>
      <w:pPr>
        <w:spacing w:after="80" w:before="80"/>
      </w:pPr>
    </w:p>
    <w:p>
      <w:pPr>
        <w:pStyle w:val="Heading1"/>
      </w:pPr>
      <w:r>
        <w:rPr>
          <w:rFonts w:ascii="Calibri" w:cs="Calibri" w:eastAsia="Calibri" w:hAnsi="Calibri"/>
          <w:b/>
          <w:bCs/>
          <w:color w:val="1A56DB"/>
        </w:rPr>
        <w:t xml:space="preserve">12. Actualizaciones de la política</w:t>
      </w:r>
    </w:p>
    <w:p>
      <w:pPr>
        <w:spacing w:after="60" w:before="60"/>
      </w:pPr>
      <w:r>
        <w:rPr>
          <w:rFonts w:ascii="Calibri" w:cs="Calibri" w:eastAsia="Calibri" w:hAnsi="Calibri"/>
          <w:color w:val="1A1A1A"/>
          <w:sz w:val="20"/>
          <w:szCs w:val="20"/>
        </w:rPr>
        <w:t xml:space="preserve">JusticeNow se reserva el derecho de actualizar la presente política. Las modificaciones se comunicarán de la siguiente manera:</w:t>
      </w:r>
    </w:p>
    <w:p>
      <w:pPr>
        <w:pStyle w:val="ListParagraph"/>
        <w:numPr>
          <w:ilvl w:val="0"/>
          <w:numId w:val="2"/>
        </w:numPr>
        <w:spacing w:after="40" w:before="40"/>
      </w:pPr>
      <w:r>
        <w:rPr>
          <w:rFonts w:ascii="Calibri" w:cs="Calibri" w:eastAsia="Calibri" w:hAnsi="Calibri"/>
          <w:color w:val="1A1A1A"/>
          <w:sz w:val="20"/>
          <w:szCs w:val="20"/>
        </w:rPr>
        <w:t xml:space="preserve">Cambios menores: publicación de la versión actualizada en la plataforma.</w:t>
      </w:r>
    </w:p>
    <w:p>
      <w:pPr>
        <w:pStyle w:val="ListParagraph"/>
        <w:numPr>
          <w:ilvl w:val="0"/>
          <w:numId w:val="2"/>
        </w:numPr>
        <w:spacing w:after="40" w:before="40"/>
      </w:pPr>
      <w:r>
        <w:rPr>
          <w:rFonts w:ascii="Calibri" w:cs="Calibri" w:eastAsia="Calibri" w:hAnsi="Calibri"/>
          <w:color w:val="1A1A1A"/>
          <w:sz w:val="20"/>
          <w:szCs w:val="20"/>
        </w:rPr>
        <w:t xml:space="preserve">Cambios sustanciales: notificación al usuario mediante correo electrónico con al menos 15 días de anticipación. Si los cambios afectan la base del consentimiento, se solicitará nuevo consentimiento.</w:t>
      </w:r>
    </w:p>
    <w:p>
      <w:pPr>
        <w:spacing w:after="80" w:before="80"/>
      </w:pPr>
    </w:p>
    <w:p>
      <w:pPr>
        <w:pStyle w:val="Heading1"/>
      </w:pPr>
      <w:r>
        <w:rPr>
          <w:rFonts w:ascii="Calibri" w:cs="Calibri" w:eastAsia="Calibri" w:hAnsi="Calibri"/>
          <w:b/>
          <w:bCs/>
          <w:color w:val="1A56DB"/>
        </w:rPr>
        <w:t xml:space="preserve">13. Contacto</w:t>
      </w:r>
    </w:p>
    <w:p>
      <w:pPr>
        <w:spacing w:after="60" w:before="60"/>
      </w:pPr>
      <w:r>
        <w:rPr>
          <w:rFonts w:ascii="Calibri" w:cs="Calibri" w:eastAsia="Calibri" w:hAnsi="Calibri"/>
          <w:color w:val="1A1A1A"/>
          <w:sz w:val="20"/>
          <w:szCs w:val="20"/>
        </w:rPr>
        <w:t xml:space="preserve">Para cualquier consulta, solicitud de ejercicio de derechos o reclamación:</w:t>
      </w:r>
    </w:p>
    <w:p>
      <w:pPr>
        <w:spacing w:after="160" w:before="80"/>
      </w:pPr>
      <w:r>
        <w:rPr>
          <w:rFonts w:ascii="Calibri" w:cs="Calibri" w:eastAsia="Calibri" w:hAnsi="Calibri"/>
          <w:b/>
          <w:bCs/>
          <w:color w:val="1A56DB"/>
          <w:sz w:val="20"/>
          <w:szCs w:val="20"/>
        </w:rPr>
        <w:t xml:space="preserve">soporte@justicenow.ai</w:t>
      </w:r>
    </w:p>
    <w:p>
      <w:pPr>
        <w:pBdr>
          <w:bottom w:val="single" w:color="1A56DB" w:sz="4" w:space="1"/>
        </w:pBdr>
        <w:spacing w:after="160" w:before="160"/>
      </w:pPr>
    </w:p>
    <w:p>
      <w:pPr>
        <w:spacing w:after="80" w:before="120"/>
      </w:pPr>
      <w:r>
        <w:rPr>
          <w:rFonts w:ascii="Calibri" w:cs="Calibri" w:eastAsia="Calibri" w:hAnsi="Calibri"/>
          <w:b/>
          <w:bCs/>
          <w:color w:val="1A1A1A"/>
          <w:sz w:val="22"/>
          <w:szCs w:val="22"/>
        </w:rPr>
        <w:t xml:space="preserve">Marco normativo</w:t>
      </w:r>
    </w:p>
    <w:p>
      <w:pPr>
        <w:spacing w:after="60" w:before="60"/>
      </w:pPr>
      <w:r>
        <w:rPr>
          <w:rFonts w:ascii="Calibri" w:cs="Calibri" w:eastAsia="Calibri" w:hAnsi="Calibri"/>
          <w:color w:val="1A1A1A"/>
          <w:sz w:val="20"/>
          <w:szCs w:val="20"/>
        </w:rPr>
        <w:t xml:space="preserve">La presente política ha sido elaborada en cumplimiento de:</w:t>
      </w:r>
    </w:p>
    <w:p>
      <w:pPr>
        <w:pStyle w:val="ListParagraph"/>
        <w:numPr>
          <w:ilvl w:val="0"/>
          <w:numId w:val="2"/>
        </w:numPr>
        <w:spacing w:after="40" w:before="40"/>
      </w:pPr>
      <w:r>
        <w:rPr>
          <w:rFonts w:ascii="Calibri" w:cs="Calibri" w:eastAsia="Calibri" w:hAnsi="Calibri"/>
          <w:color w:val="1A1A1A"/>
          <w:sz w:val="20"/>
          <w:szCs w:val="20"/>
        </w:rPr>
        <w:t xml:space="preserve">Ley N° 19.628 sobre Protección de la Vida Privada.</w:t>
      </w:r>
    </w:p>
    <w:p>
      <w:pPr>
        <w:pStyle w:val="ListParagraph"/>
        <w:numPr>
          <w:ilvl w:val="0"/>
          <w:numId w:val="2"/>
        </w:numPr>
        <w:spacing w:after="40" w:before="40"/>
      </w:pPr>
      <w:r>
        <w:rPr>
          <w:rFonts w:ascii="Calibri" w:cs="Calibri" w:eastAsia="Calibri" w:hAnsi="Calibri"/>
          <w:color w:val="1A1A1A"/>
          <w:sz w:val="20"/>
          <w:szCs w:val="20"/>
        </w:rPr>
        <w:t xml:space="preserve">Ley N° 21.719 sobre Protección de Datos Personales.</w:t>
      </w:r>
    </w:p>
    <w:p>
      <w:pPr>
        <w:pStyle w:val="ListParagraph"/>
        <w:numPr>
          <w:ilvl w:val="0"/>
          <w:numId w:val="2"/>
        </w:numPr>
        <w:spacing w:after="40" w:before="40"/>
      </w:pPr>
      <w:r>
        <w:rPr>
          <w:rFonts w:ascii="Calibri" w:cs="Calibri" w:eastAsia="Calibri" w:hAnsi="Calibri"/>
          <w:color w:val="1A1A1A"/>
          <w:sz w:val="20"/>
          <w:szCs w:val="20"/>
        </w:rPr>
        <w:t xml:space="preserve">Reglamento General de Protección de Datos de la Unión Europea (GDPR), como referencia de mejores prácticas internacionales.</w:t>
      </w:r>
    </w:p>
    <w:p>
      <w:pPr>
        <w:pStyle w:val="ListParagraph"/>
        <w:numPr>
          <w:ilvl w:val="0"/>
          <w:numId w:val="2"/>
        </w:numPr>
        <w:spacing w:after="40" w:before="40"/>
      </w:pPr>
      <w:r>
        <w:rPr>
          <w:rFonts w:ascii="Calibri" w:cs="Calibri" w:eastAsia="Calibri" w:hAnsi="Calibri"/>
          <w:color w:val="1A1A1A"/>
          <w:sz w:val="20"/>
          <w:szCs w:val="20"/>
        </w:rPr>
        <w:t xml:space="preserve">Estándar ISO 27701 sobre Gestión de Información de Privacidad.</w:t>
      </w:r>
    </w:p>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1A56DB" w:sz="4" w:space="1"/>
      </w:pBdr>
      <w:tabs>
        <w:tab w:val="right" w:pos="9026"/>
      </w:tabs>
      <w:spacing w:after="0" w:before="120"/>
    </w:pPr>
    <w:r>
      <w:rPr>
        <w:rFonts w:ascii="Calibri" w:cs="Calibri" w:eastAsia="Calibri" w:hAnsi="Calibri"/>
        <w:i/>
        <w:iCs/>
        <w:color w:val="888888"/>
        <w:sz w:val="16"/>
        <w:szCs w:val="16"/>
      </w:rPr>
      <w:t xml:space="preserve">We transform the legal sector with advanced AI</w:t>
    </w:r>
    <w:r>
      <w:rPr>
        <w:rFonts w:ascii="Calibri" w:cs="Calibri" w:eastAsia="Calibri" w:hAnsi="Calibri"/>
        <w:color w:val="888888"/>
        <w:sz w:val="16"/>
        <w:szCs w:val="16"/>
      </w:rPr>
      <w:t xml:space="preserve">	Página </w:t>
    </w:r>
    <w:fldSimple w:instr="PAG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1A56DB" w:sz="4" w:space="1"/>
      </w:pBdr>
      <w:tabs>
        <w:tab w:val="right" w:pos="9026"/>
      </w:tabs>
      <w:spacing w:after="160" w:before="0"/>
    </w:pPr>
    <w:r>
      <w:rPr>
        <w:rFonts w:ascii="Calibri" w:cs="Calibri" w:eastAsia="Calibri" w:hAnsi="Calibri"/>
        <w:b/>
        <w:bCs/>
        <w:color w:val="1A56DB"/>
        <w:sz w:val="18"/>
        <w:szCs w:val="18"/>
      </w:rPr>
      <w:t xml:space="preserve">JusticeNow | Política de Privacidad v1.0</w:t>
    </w:r>
    <w:r>
      <w:rPr>
        <w:rFonts w:ascii="Calibri" w:cs="Calibri" w:eastAsia="Calibri" w:hAnsi="Calibri"/>
        <w:color w:val="888888"/>
        <w:sz w:val="18"/>
        <w:szCs w:val="18"/>
      </w:rPr>
      <w:t xml:space="preserve">		Innovant Group SpA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1A1A"/>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360"/>
      <w:outlineLvl w:val="0"/>
    </w:pPr>
    <w:rPr>
      <w:rFonts w:ascii="Calibri" w:cs="Calibri" w:eastAsia="Calibri" w:hAnsi="Calibri"/>
      <w:b/>
      <w:bCs/>
      <w:color w:val="1A56DB"/>
      <w:sz w:val="28"/>
      <w:szCs w:val="28"/>
    </w:rPr>
  </w:style>
  <w:style w:type="paragraph" w:styleId="Heading2">
    <w:name w:val="Heading 2"/>
    <w:basedOn w:val="Normal"/>
    <w:next w:val="Normal"/>
    <w:qFormat/>
    <w:pPr>
      <w:spacing w:after="120" w:before="240"/>
      <w:outlineLvl w:val="1"/>
    </w:pPr>
    <w:rPr>
      <w:rFonts w:ascii="Calibri" w:cs="Calibri" w:eastAsia="Calibri" w:hAnsi="Calibri"/>
      <w:b/>
      <w:bCs/>
      <w:color w:val="1A1A1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2026-04-01T20:30:42.359Z</dcterms:created>
  <dcterms:modified xsi:type="dcterms:W3CDTF">2026-04-01T20:30:42.360Z</dcterms:modified>
</cp:coreProperties>
</file>

<file path=docProps/custom.xml><?xml version="1.0" encoding="utf-8"?>
<Properties xmlns="http://schemas.openxmlformats.org/officeDocument/2006/custom-properties" xmlns:vt="http://schemas.openxmlformats.org/officeDocument/2006/docPropsVTypes"/>
</file>